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3D47" w:rsidRDefault="00483D47" w:rsidP="00483D47">
      <w:pPr>
        <w:spacing w:line="360" w:lineRule="auto"/>
        <w:jc w:val="left"/>
        <w:rPr>
          <w:rFonts w:ascii="仿宋" w:eastAsia="仿宋" w:hAnsi="仿宋" w:cs="仿宋" w:hint="eastAsia"/>
          <w:b/>
          <w:sz w:val="32"/>
          <w:szCs w:val="32"/>
        </w:rPr>
      </w:pPr>
      <w:r>
        <w:rPr>
          <w:rFonts w:ascii="仿宋" w:eastAsia="仿宋" w:hAnsi="仿宋" w:cs="仿宋" w:hint="eastAsia"/>
          <w:b/>
          <w:sz w:val="32"/>
          <w:szCs w:val="32"/>
        </w:rPr>
        <w:t>附件4</w:t>
      </w:r>
      <w:bookmarkStart w:id="0" w:name="_GoBack"/>
      <w:bookmarkEnd w:id="0"/>
    </w:p>
    <w:p w:rsidR="00483D47" w:rsidRPr="00483D47" w:rsidRDefault="00483D47" w:rsidP="00483D47">
      <w:pPr>
        <w:spacing w:line="360" w:lineRule="auto"/>
        <w:jc w:val="left"/>
        <w:rPr>
          <w:rFonts w:ascii="仿宋" w:eastAsia="仿宋" w:hAnsi="仿宋" w:cs="仿宋" w:hint="eastAsia"/>
          <w:b/>
          <w:szCs w:val="21"/>
        </w:rPr>
      </w:pPr>
    </w:p>
    <w:p w:rsidR="00951FE5" w:rsidRDefault="005B72F4" w:rsidP="00483D47">
      <w:pPr>
        <w:spacing w:line="360" w:lineRule="auto"/>
        <w:jc w:val="center"/>
        <w:rPr>
          <w:rFonts w:ascii="仿宋" w:eastAsia="仿宋" w:hAnsi="仿宋" w:cs="仿宋" w:hint="eastAsia"/>
          <w:b/>
          <w:sz w:val="32"/>
          <w:szCs w:val="32"/>
        </w:rPr>
      </w:pPr>
      <w:r>
        <w:rPr>
          <w:rFonts w:ascii="仿宋" w:eastAsia="仿宋" w:hAnsi="仿宋" w:cs="仿宋" w:hint="eastAsia"/>
          <w:b/>
          <w:sz w:val="32"/>
          <w:szCs w:val="32"/>
        </w:rPr>
        <w:t>《教育事业综合统计调查制度》修订情况说明</w:t>
      </w:r>
    </w:p>
    <w:p w:rsidR="00483D47" w:rsidRPr="00483D47" w:rsidRDefault="00483D47" w:rsidP="00483D47">
      <w:pPr>
        <w:spacing w:line="360" w:lineRule="auto"/>
        <w:jc w:val="center"/>
        <w:rPr>
          <w:rFonts w:ascii="仿宋" w:eastAsia="仿宋" w:hAnsi="仿宋" w:cs="仿宋"/>
          <w:b/>
          <w:sz w:val="32"/>
          <w:szCs w:val="32"/>
        </w:rPr>
      </w:pPr>
      <w:r>
        <w:rPr>
          <w:rFonts w:ascii="仿宋" w:eastAsia="仿宋" w:hAnsi="仿宋" w:cs="仿宋" w:hint="eastAsia"/>
          <w:b/>
          <w:sz w:val="32"/>
          <w:szCs w:val="32"/>
        </w:rPr>
        <w:t>（简版）</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为深入贯彻落实《国家统计局关于督察教育部防范和惩治统计造假弄虚作假情况的反馈意见》，扎实做好教育统计督察整改工作，使教育统计工作更好地适应我国教育改革和发展需要，根据国家近年陆续出台的相关政策文件，结合教育统计工作实际，按照《部门统计调查项目管理办法》有关要求，我部对教育事业统计调查制度进行了修订和完善，现将修订情况说明如下。</w:t>
      </w:r>
    </w:p>
    <w:p w:rsidR="00951FE5" w:rsidRDefault="005B72F4">
      <w:pPr>
        <w:spacing w:line="360" w:lineRule="auto"/>
        <w:ind w:firstLineChars="200" w:firstLine="562"/>
        <w:rPr>
          <w:rFonts w:ascii="仿宋" w:eastAsia="仿宋" w:hAnsi="仿宋" w:cs="仿宋"/>
          <w:b/>
          <w:bCs/>
          <w:sz w:val="28"/>
          <w:szCs w:val="28"/>
        </w:rPr>
      </w:pPr>
      <w:r>
        <w:rPr>
          <w:rFonts w:ascii="仿宋" w:eastAsia="仿宋" w:hAnsi="仿宋" w:cs="仿宋" w:hint="eastAsia"/>
          <w:b/>
          <w:bCs/>
          <w:sz w:val="28"/>
          <w:szCs w:val="28"/>
        </w:rPr>
        <w:t>一、调查表修订主要内容</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为加强数据的统一管理，将《基础教育学校(机构)统计调查制度》《中等职业教育学校(机构)统计调查制度》《高等教育学校(机构)统计调查制度》《全国教育基本建设投资完成情况统计调查制度》等四套统计调查制度整合为一套《教育事业综合统计调查制度》，对表号也进行了重新划分。新的</w:t>
      </w:r>
      <w:proofErr w:type="gramStart"/>
      <w:r>
        <w:rPr>
          <w:rFonts w:ascii="仿宋" w:eastAsia="仿宋" w:hAnsi="仿宋" w:cs="仿宋" w:hint="eastAsia"/>
          <w:sz w:val="28"/>
          <w:szCs w:val="28"/>
        </w:rPr>
        <w:t>表号共分为</w:t>
      </w:r>
      <w:proofErr w:type="gramEnd"/>
      <w:r>
        <w:rPr>
          <w:rFonts w:ascii="仿宋" w:eastAsia="仿宋" w:hAnsi="仿宋" w:cs="仿宋" w:hint="eastAsia"/>
          <w:sz w:val="28"/>
          <w:szCs w:val="28"/>
        </w:rPr>
        <w:t>四段:</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第一段为调查表属性，分为教基(基表)和</w:t>
      </w:r>
      <w:proofErr w:type="gramStart"/>
      <w:r>
        <w:rPr>
          <w:rFonts w:ascii="仿宋" w:eastAsia="仿宋" w:hAnsi="仿宋" w:cs="仿宋" w:hint="eastAsia"/>
          <w:sz w:val="28"/>
          <w:szCs w:val="28"/>
        </w:rPr>
        <w:t>教综(综表</w:t>
      </w:r>
      <w:proofErr w:type="gramEnd"/>
      <w:r>
        <w:rPr>
          <w:rFonts w:ascii="仿宋" w:eastAsia="仿宋" w:hAnsi="仿宋" w:cs="仿宋" w:hint="eastAsia"/>
          <w:sz w:val="28"/>
          <w:szCs w:val="28"/>
        </w:rPr>
        <w:t>)；</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第二段为调查表内容，分为10类:1学校基本情况、</w:t>
      </w:r>
      <w:proofErr w:type="gramStart"/>
      <w:r>
        <w:rPr>
          <w:rFonts w:ascii="仿宋" w:eastAsia="仿宋" w:hAnsi="仿宋" w:cs="仿宋" w:hint="eastAsia"/>
          <w:sz w:val="28"/>
          <w:szCs w:val="28"/>
        </w:rPr>
        <w:t>2班额</w:t>
      </w:r>
      <w:proofErr w:type="gramEnd"/>
      <w:r>
        <w:rPr>
          <w:rFonts w:ascii="仿宋" w:eastAsia="仿宋" w:hAnsi="仿宋" w:cs="仿宋" w:hint="eastAsia"/>
          <w:sz w:val="28"/>
          <w:szCs w:val="28"/>
        </w:rPr>
        <w:t xml:space="preserve">班数情况、3学生情况、4教职工情况、5办学条件情况、6其他情况、7县省级基表、8统计台账、9季报、A基本建设投资； </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第三段为教育层级，分为4类:0综合、1基础教育、2职业教育、3高等教育；</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lastRenderedPageBreak/>
        <w:t>第四段为顺序号，同调查表目录保持一致。</w:t>
      </w:r>
    </w:p>
    <w:p w:rsidR="00951FE5" w:rsidRDefault="005B72F4">
      <w:pPr>
        <w:numPr>
          <w:ilvl w:val="0"/>
          <w:numId w:val="1"/>
        </w:numPr>
        <w:spacing w:line="360" w:lineRule="auto"/>
        <w:ind w:firstLineChars="200" w:firstLine="560"/>
        <w:rPr>
          <w:rFonts w:ascii="仿宋" w:eastAsia="仿宋" w:hAnsi="仿宋" w:cs="仿宋"/>
          <w:sz w:val="28"/>
          <w:szCs w:val="28"/>
        </w:rPr>
      </w:pPr>
      <w:proofErr w:type="gramStart"/>
      <w:r>
        <w:rPr>
          <w:rFonts w:ascii="仿宋" w:eastAsia="仿宋" w:hAnsi="仿宋" w:cs="仿宋" w:hint="eastAsia"/>
          <w:sz w:val="28"/>
          <w:szCs w:val="28"/>
        </w:rPr>
        <w:t>完善总</w:t>
      </w:r>
      <w:proofErr w:type="gramEnd"/>
      <w:r>
        <w:rPr>
          <w:rFonts w:ascii="仿宋" w:eastAsia="仿宋" w:hAnsi="仿宋" w:cs="仿宋" w:hint="eastAsia"/>
          <w:sz w:val="28"/>
          <w:szCs w:val="28"/>
        </w:rPr>
        <w:t>说明</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按照《国家统计质量保证框架(2021)》有关要求，结合教育事业统计工作实际，进一步完善教育统计质量控制，对各级教育行政部门和学校在统计业务流程中任务部署环节、数据采集环节、数据审核汇总环节和统计资料归档等各环节进行质量管理和控制。</w:t>
      </w:r>
    </w:p>
    <w:p w:rsidR="00951FE5" w:rsidRDefault="005B72F4">
      <w:pPr>
        <w:numPr>
          <w:ilvl w:val="0"/>
          <w:numId w:val="1"/>
        </w:num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教基1001学校基本情况</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进一步规范附设教学</w:t>
      </w:r>
      <w:proofErr w:type="gramStart"/>
      <w:r>
        <w:rPr>
          <w:rFonts w:ascii="仿宋" w:eastAsia="仿宋" w:hAnsi="仿宋" w:cs="仿宋" w:hint="eastAsia"/>
          <w:sz w:val="28"/>
          <w:szCs w:val="28"/>
        </w:rPr>
        <w:t>班数据</w:t>
      </w:r>
      <w:proofErr w:type="gramEnd"/>
      <w:r>
        <w:rPr>
          <w:rFonts w:ascii="仿宋" w:eastAsia="仿宋" w:hAnsi="仿宋" w:cs="仿宋" w:hint="eastAsia"/>
          <w:sz w:val="28"/>
          <w:szCs w:val="28"/>
        </w:rPr>
        <w:t>填报方式。附设教学班需填报附设教学</w:t>
      </w:r>
      <w:proofErr w:type="gramStart"/>
      <w:r>
        <w:rPr>
          <w:rFonts w:ascii="仿宋" w:eastAsia="仿宋" w:hAnsi="仿宋" w:cs="仿宋" w:hint="eastAsia"/>
          <w:sz w:val="28"/>
          <w:szCs w:val="28"/>
        </w:rPr>
        <w:t>班类型</w:t>
      </w:r>
      <w:proofErr w:type="gramEnd"/>
      <w:r>
        <w:rPr>
          <w:rFonts w:ascii="仿宋" w:eastAsia="仿宋" w:hAnsi="仿宋" w:cs="仿宋" w:hint="eastAsia"/>
          <w:sz w:val="28"/>
          <w:szCs w:val="28"/>
        </w:rPr>
        <w:t>的班数、学生数、专任教师</w:t>
      </w:r>
      <w:proofErr w:type="gramStart"/>
      <w:r>
        <w:rPr>
          <w:rFonts w:ascii="仿宋" w:eastAsia="仿宋" w:hAnsi="仿宋" w:cs="仿宋" w:hint="eastAsia"/>
          <w:sz w:val="28"/>
          <w:szCs w:val="28"/>
        </w:rPr>
        <w:t>数相关</w:t>
      </w:r>
      <w:proofErr w:type="gramEnd"/>
      <w:r>
        <w:rPr>
          <w:rFonts w:ascii="仿宋" w:eastAsia="仿宋" w:hAnsi="仿宋" w:cs="仿宋" w:hint="eastAsia"/>
          <w:sz w:val="28"/>
          <w:szCs w:val="28"/>
        </w:rPr>
        <w:t>调查表，其中，专任教师为举办附设教学班的学校教职工数的其中数。</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3.教基1304高等教育学校基本情况</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进一步规范高等教育学校数据填报，根据高等教育特点，增加“一流学科数量”“实有床位数”“上学年全日制在校生短期出国校际交流人数”等指标项；</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删减“‘985工程’院校”“‘211工程’”院校</w:t>
      </w:r>
      <w:proofErr w:type="gramStart"/>
      <w:r>
        <w:rPr>
          <w:rFonts w:ascii="仿宋" w:eastAsia="仿宋" w:hAnsi="仿宋" w:cs="仿宋" w:hint="eastAsia"/>
          <w:sz w:val="28"/>
          <w:szCs w:val="28"/>
        </w:rPr>
        <w:t>”</w:t>
      </w:r>
      <w:proofErr w:type="gramEnd"/>
      <w:r>
        <w:rPr>
          <w:rFonts w:ascii="仿宋" w:eastAsia="仿宋" w:hAnsi="仿宋" w:cs="仿宋" w:hint="eastAsia"/>
          <w:sz w:val="28"/>
          <w:szCs w:val="28"/>
        </w:rPr>
        <w:t>“设立研究生院”“网络学院”“建立校园网”“国家重点学科(一级)”“国家重点学科(二级)”“国家重点(培育)学科”“省、部级重点学科(一级)”“省、部级重点学科(二级)”“省、部级设置的研究(院、所、中心)、实验室”“直属院(系)数”等指标项；</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修订完善“专业数”“国家实验室”“国家重点实验室”“国家工程实验室”“国家工程研究中心”“国家工程技术研究中心”“博士后科研流动站”等指标解释。</w:t>
      </w:r>
    </w:p>
    <w:p w:rsidR="00951FE5" w:rsidRDefault="005B72F4" w:rsidP="005B72F4">
      <w:pPr>
        <w:spacing w:line="360" w:lineRule="auto"/>
        <w:ind w:leftChars="200" w:left="420"/>
        <w:rPr>
          <w:rFonts w:ascii="仿宋" w:eastAsia="仿宋" w:hAnsi="仿宋" w:cs="仿宋"/>
          <w:sz w:val="28"/>
          <w:szCs w:val="28"/>
        </w:rPr>
      </w:pPr>
      <w:r>
        <w:rPr>
          <w:rFonts w:ascii="仿宋" w:eastAsia="仿宋" w:hAnsi="仿宋" w:cs="仿宋" w:hint="eastAsia"/>
          <w:sz w:val="28"/>
          <w:szCs w:val="28"/>
        </w:rPr>
        <w:lastRenderedPageBreak/>
        <w:t>4. 教基2310 高等教育班额</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进一步反映高等教育学校资源配置和学生学习环境的相关信息，增加高等教育班额统计，并完善相应指标解释和填报说明。</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5.教基3326普通本科分专业学生数</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删减招生数中“应届毕业生”“春季招生”“预科生转入”等指标项；</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修订完善“师范专业”“师范生”等指标填报说明。</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6.教基3331硕士研究生分专业(领域)学生数；教基3332博士研究生分专业(领域)学生数</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进一步优化硕士、博士研究生分专业(领域)数据填报，取消“专项计划”“定向”“非定向”分类填报</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修订完善硕士、博士专业(二级学科)填报说明。</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7.教基3333研究生分专项计划类型学生数</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进一步优化硕士、博士研究生数据填报，新增“研究生分专项计划类型学生数”，并完善相应指标解释和填报说明。</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8. 教基3338普通本科、高职本科录取类型来源情况；教基3339普通本科高职本科招生类型来源情况</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进一步规范普通本科、高职本科学生录取、招生情况数据填报，增加“第二学士学位”“保留入学资格”“恢复入学资格”等指标项。</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9.教基3040学生变动情况</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进一步了解在校大学生入伍情况，增加“退役复学”“应征入伍”指标项。</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lastRenderedPageBreak/>
        <w:t>10.教基3045在校生中其他情况</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规范在校生党团员数据填报，修订完善“中共党员”“共青团员”“民主党派”填报说明。</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11.教基3046国际学生基本情况</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根据《学校招收和培养国际学生管理办法》，修订完善国际学生调查表及相应的指标解释和填报说明。</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12.教基3347对外开展培训情况</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进一步反映国家“终身学习”决策部署，结合学校培训工作特点，修订完善职业教育、高等教育对外开展培训调查表及相应的指标解释和填报说明，建立对外开展培训明细统计调查表统计台账。</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13.教基4252高等教育学校教职工情况</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根据《关于高等学校岗位设置管理的指导意见》，修订高等教育学校教职工分类，并完善相应指标解释；</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增加“专职科研人员”</w:t>
      </w:r>
      <w:proofErr w:type="gramStart"/>
      <w:r>
        <w:rPr>
          <w:rFonts w:ascii="仿宋" w:eastAsia="仿宋" w:hAnsi="仿宋" w:cs="仿宋" w:hint="eastAsia"/>
          <w:sz w:val="28"/>
          <w:szCs w:val="28"/>
        </w:rPr>
        <w:t>“</w:t>
      </w:r>
      <w:proofErr w:type="gramEnd"/>
      <w:r>
        <w:rPr>
          <w:rFonts w:ascii="仿宋" w:eastAsia="仿宋" w:hAnsi="仿宋" w:cs="仿宋" w:hint="eastAsia"/>
          <w:sz w:val="28"/>
          <w:szCs w:val="28"/>
        </w:rPr>
        <w:t>校外教师“行业导师”“外籍教师”“在编人员”指标项；</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删减“科研机构人员”“校办企业职工”“集体所有制人员”“总计中聘任制”指标项。</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14. 教基4258高等教育学校专任教师教学领域分学科门类情况</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根据高等教育学校实际，增加“马克思主义哲学”指标项；</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删减“体育”“外语”“计算机”“林学”指标项。</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15. 教基4262高等教育学校教师授课分类情况</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新增“思政课”“本学年授课行业导师”“本学年授课外籍教师”</w:t>
      </w:r>
      <w:r>
        <w:rPr>
          <w:rFonts w:ascii="仿宋" w:eastAsia="仿宋" w:hAnsi="仿宋" w:cs="仿宋" w:hint="eastAsia"/>
          <w:sz w:val="28"/>
          <w:szCs w:val="28"/>
        </w:rPr>
        <w:lastRenderedPageBreak/>
        <w:t>“为本科生上课”指标项。</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16. 教基4063专任教师变动情况</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进一步反映专任教师变动情况，将原“录用毕业生”指标改为“招聘”，并完善相应填报说明。</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17. 教基4064心理咨询工作人员(心理健康教育教师)情况</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进一步反映学校心理咨询工作人员情况，增加基础教育心理健康教育教师相关统计指标，并完善指标解释和填报说明。</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18. 教基4365研究生指导教师情况</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强化对源头数据的监督管理，博士生导师等数据直接与行政记录对接采集；</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增加“人事关系在本校”指标项。</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19. 教基4067教职工其他情况</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规范教职工和专任教师党团员数据填报，修订完善“中共党员”“共青团员”“民主党派”填报说明。</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20. 教基4068专任教师接受培训情况</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进一步反映专任教师接受培训情况，结合学校实际，修订完善专任教师接受培训情况调查表及相应的指标解释和填报说明。</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21. 教基5374高等教育学校(普通)校舍情况</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根据《普通高等学校建筑面积标准》(建标191-2018)，修订普通本科高校校舍功能分类，并完善相应指标解释和填报说明；</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增加“C级危房”“D级危房”“租用外单位”“被外单位租(借)用”“增加面积”“减少面积”等指标项；</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lastRenderedPageBreak/>
        <w:t>建立高等教育学校(普通)校舍功能明细统计调查表统计台账。</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22. 教基5377职业教育学校、高等教育学校资产等办学条件</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根据《职业院校数字校园建设规范》，增加“职业教育仿真实训资源量”“仿真实验软件”“仿真实训软件”“仿真实习软件”等指标项；</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根据《教育信息化2.0行动计划》，将原“计算机数”“教学用计算机”修改为“数字终端数”“教师终端数”“学生终端数”；</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删减“信息化设备资产值”“其中：软件”等指标项。</w:t>
      </w:r>
    </w:p>
    <w:p w:rsidR="00951FE5" w:rsidRDefault="005B72F4">
      <w:pPr>
        <w:spacing w:line="360" w:lineRule="auto"/>
        <w:ind w:firstLineChars="200" w:firstLine="562"/>
        <w:rPr>
          <w:rFonts w:ascii="仿宋" w:eastAsia="仿宋" w:hAnsi="仿宋" w:cs="仿宋"/>
          <w:b/>
          <w:bCs/>
          <w:sz w:val="28"/>
          <w:szCs w:val="28"/>
        </w:rPr>
      </w:pPr>
      <w:r>
        <w:rPr>
          <w:rFonts w:ascii="仿宋" w:eastAsia="仿宋" w:hAnsi="仿宋" w:cs="仿宋" w:hint="eastAsia"/>
          <w:b/>
          <w:bCs/>
          <w:sz w:val="28"/>
          <w:szCs w:val="28"/>
        </w:rPr>
        <w:t>二、关于高等教育学校校区（多点办学）情况统计</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为真实反映高等学校多点办学基本情况，本年度将开展高等学校校区(多点办学)情况统计。</w:t>
      </w:r>
    </w:p>
    <w:p w:rsidR="00951FE5" w:rsidRDefault="005B72F4">
      <w:pPr>
        <w:numPr>
          <w:ilvl w:val="0"/>
          <w:numId w:val="2"/>
        </w:num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统计范围</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开展校区统计的高等教育学校包括:大学、学院、独立学院、本科层次职业学校、高等职业学校和高等专科学校，不含成人高校。</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统计范围包括上述高校在中华人民共和国境内设立的主校区、分校区、独立于校园外的研究生院和研究院(所、中心等),以下均统称为“校区”仅作为统计用，不用于统计以外任何目的。</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对于设有多校区的高校，学校法人注册地所在的校区称为“主校区”。2021年各高校以学</w:t>
      </w:r>
      <w:proofErr w:type="gramStart"/>
      <w:r>
        <w:rPr>
          <w:rFonts w:ascii="仿宋" w:eastAsia="仿宋" w:hAnsi="仿宋" w:cs="仿宋" w:hint="eastAsia"/>
          <w:sz w:val="28"/>
          <w:szCs w:val="28"/>
        </w:rPr>
        <w:t>校官网</w:t>
      </w:r>
      <w:proofErr w:type="gramEnd"/>
      <w:r>
        <w:rPr>
          <w:rFonts w:ascii="仿宋" w:eastAsia="仿宋" w:hAnsi="仿宋" w:cs="仿宋" w:hint="eastAsia"/>
          <w:sz w:val="28"/>
          <w:szCs w:val="28"/>
        </w:rPr>
        <w:t>对外公开的校区信息为基础，如实全面进行填报。</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2. 学校(机构)代码设立环节</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(1)</w:t>
      </w:r>
      <w:proofErr w:type="gramStart"/>
      <w:r>
        <w:rPr>
          <w:rFonts w:ascii="仿宋" w:eastAsia="仿宋" w:hAnsi="仿宋" w:cs="仿宋" w:hint="eastAsia"/>
          <w:sz w:val="28"/>
          <w:szCs w:val="28"/>
        </w:rPr>
        <w:t>由开展</w:t>
      </w:r>
      <w:proofErr w:type="gramEnd"/>
      <w:r>
        <w:rPr>
          <w:rFonts w:ascii="仿宋" w:eastAsia="仿宋" w:hAnsi="仿宋" w:cs="仿宋" w:hint="eastAsia"/>
          <w:sz w:val="28"/>
          <w:szCs w:val="28"/>
        </w:rPr>
        <w:t>校区统计的高校录入校区。教育部在“学校(机构)代</w:t>
      </w:r>
      <w:r>
        <w:rPr>
          <w:rFonts w:ascii="仿宋" w:eastAsia="仿宋" w:hAnsi="仿宋" w:cs="仿宋" w:hint="eastAsia"/>
          <w:sz w:val="28"/>
          <w:szCs w:val="28"/>
        </w:rPr>
        <w:lastRenderedPageBreak/>
        <w:t>码管理信息系统”中对高校开放权限。各高校在系统中新增、修改、删除校区信息，确认信息后，须上报到校区所在地的</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地级教育行政管理部门(直辖市为区级教育行政部门)。</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(2)地级教育行政部门认定。地级教育行政部门需在系统中核实辖区内高校校区信息。高校在本地设立校区但未在认定清单中的，应主动联系辖区内高校校区，经确认后报当地省级教育行政部门和主校区所在省级教育行政部门。</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(3)省级教育行政</w:t>
      </w:r>
      <w:proofErr w:type="gramStart"/>
      <w:r>
        <w:rPr>
          <w:rFonts w:ascii="仿宋" w:eastAsia="仿宋" w:hAnsi="仿宋" w:cs="仿宋" w:hint="eastAsia"/>
          <w:sz w:val="28"/>
          <w:szCs w:val="28"/>
        </w:rPr>
        <w:t>部门双</w:t>
      </w:r>
      <w:proofErr w:type="gramEnd"/>
      <w:r>
        <w:rPr>
          <w:rFonts w:ascii="仿宋" w:eastAsia="仿宋" w:hAnsi="仿宋" w:cs="仿宋" w:hint="eastAsia"/>
          <w:sz w:val="28"/>
          <w:szCs w:val="28"/>
        </w:rPr>
        <w:t>认定。对于设有异地校区的高校，该异地校区的信息由所在省份教育行政部门和主校区所在省份教育行政部门共同认定，对存疑信息需联系学校核实。</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(4)教育部赋予校区码。教育部按照《学校(机构)代码管理办法》，为高校校区赋码，校区码终身唯一，信息一经发布，当年不得修改。</w:t>
      </w:r>
      <w:proofErr w:type="gramStart"/>
      <w:r>
        <w:rPr>
          <w:rFonts w:ascii="仿宋" w:eastAsia="仿宋" w:hAnsi="仿宋" w:cs="仿宋" w:hint="eastAsia"/>
          <w:sz w:val="28"/>
          <w:szCs w:val="28"/>
        </w:rPr>
        <w:t>校区码仅作为</w:t>
      </w:r>
      <w:proofErr w:type="gramEnd"/>
      <w:r>
        <w:rPr>
          <w:rFonts w:ascii="仿宋" w:eastAsia="仿宋" w:hAnsi="仿宋" w:cs="仿宋" w:hint="eastAsia"/>
          <w:sz w:val="28"/>
          <w:szCs w:val="28"/>
        </w:rPr>
        <w:t>学校统计使用。</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3. 数据采集汇总环节</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(1)填报账号分配</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高校统计负责人可为每一校区分配一个或多个实名制填报账号。</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(2)填报内容</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校区统计调查表涉及学生、教职工、校园占地和校舍等内容。</w:t>
      </w:r>
    </w:p>
    <w:p w:rsidR="00951FE5" w:rsidRDefault="005B72F4">
      <w:pPr>
        <w:spacing w:line="360" w:lineRule="auto"/>
        <w:rPr>
          <w:rFonts w:ascii="仿宋" w:eastAsia="仿宋" w:hAnsi="仿宋" w:cs="仿宋"/>
          <w:sz w:val="28"/>
          <w:szCs w:val="28"/>
        </w:rPr>
      </w:pPr>
      <w:r>
        <w:rPr>
          <w:rFonts w:ascii="仿宋" w:eastAsia="仿宋" w:hAnsi="仿宋" w:cs="仿宋" w:hint="eastAsia"/>
          <w:sz w:val="28"/>
          <w:szCs w:val="28"/>
        </w:rPr>
        <w:t>其中:</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学生情况调查表包括专科、本科、硕士、博士的分专业学生数及国际学生基本情况的统计，分别为教基3324教基3325教基3326教基3327教基3328教基3331教基3332教基3046</w:t>
      </w:r>
      <w:proofErr w:type="gramStart"/>
      <w:r>
        <w:rPr>
          <w:rFonts w:ascii="仿宋" w:eastAsia="仿宋" w:hAnsi="仿宋" w:cs="仿宋" w:hint="eastAsia"/>
          <w:sz w:val="28"/>
          <w:szCs w:val="28"/>
        </w:rPr>
        <w:t>各</w:t>
      </w:r>
      <w:proofErr w:type="gramEnd"/>
      <w:r>
        <w:rPr>
          <w:rFonts w:ascii="仿宋" w:eastAsia="仿宋" w:hAnsi="仿宋" w:cs="仿宋" w:hint="eastAsia"/>
          <w:sz w:val="28"/>
          <w:szCs w:val="28"/>
        </w:rPr>
        <w:t>高校校区根据学</w:t>
      </w:r>
      <w:r>
        <w:rPr>
          <w:rFonts w:ascii="仿宋" w:eastAsia="仿宋" w:hAnsi="仿宋" w:cs="仿宋" w:hint="eastAsia"/>
          <w:sz w:val="28"/>
          <w:szCs w:val="28"/>
        </w:rPr>
        <w:lastRenderedPageBreak/>
        <w:t>生类型进行填报；</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教职工情况调查表为“教基4352高等教育学校教职工情况”；</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校园占地和校舍功能统计调查台账(教基8386教基8387、教基8388)已按分校区填报，无需单独填报。</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(3)数据填报依据</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全日制学生按住宿所在校区填报，非全日制学生按培养所在校区填报；教职工按工作时长最长校区填报；资产按产权所在地填报。</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(4)统计流程</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高校填表人和统计负责人负责审核各校区上报数据，对存疑数据应会商核实。高校填表人负责采集主校区数据，汇总各校区上报数据最终形成学校基表。经单位负责人审核后，学校整体数据及校区数据均须上报到属地省级教育行政部门审核。</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4. 数据使用</w:t>
      </w:r>
    </w:p>
    <w:p w:rsidR="00951FE5" w:rsidRDefault="005B72F4">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教育部集中审核汇总后，会将校</w:t>
      </w:r>
      <w:proofErr w:type="gramStart"/>
      <w:r>
        <w:rPr>
          <w:rFonts w:ascii="仿宋" w:eastAsia="仿宋" w:hAnsi="仿宋" w:cs="仿宋" w:hint="eastAsia"/>
          <w:sz w:val="28"/>
          <w:szCs w:val="28"/>
        </w:rPr>
        <w:t>区数据</w:t>
      </w:r>
      <w:proofErr w:type="gramEnd"/>
      <w:r>
        <w:rPr>
          <w:rFonts w:ascii="仿宋" w:eastAsia="仿宋" w:hAnsi="仿宋" w:cs="仿宋" w:hint="eastAsia"/>
          <w:sz w:val="28"/>
          <w:szCs w:val="28"/>
        </w:rPr>
        <w:t>下发至校区所在省级教育行政部门和地级教育行政部门。</w:t>
      </w:r>
    </w:p>
    <w:p w:rsidR="00951FE5" w:rsidRDefault="00951FE5">
      <w:pPr>
        <w:spacing w:line="360" w:lineRule="auto"/>
        <w:ind w:firstLineChars="200" w:firstLine="560"/>
        <w:rPr>
          <w:rFonts w:ascii="仿宋" w:eastAsia="仿宋" w:hAnsi="仿宋" w:cs="仿宋"/>
          <w:sz w:val="28"/>
          <w:szCs w:val="28"/>
        </w:rPr>
      </w:pPr>
    </w:p>
    <w:sectPr w:rsidR="00951FE5">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72F4" w:rsidRDefault="005B72F4" w:rsidP="005B72F4">
      <w:r>
        <w:separator/>
      </w:r>
    </w:p>
  </w:endnote>
  <w:endnote w:type="continuationSeparator" w:id="0">
    <w:p w:rsidR="005B72F4" w:rsidRDefault="005B72F4" w:rsidP="005B7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3787794"/>
      <w:docPartObj>
        <w:docPartGallery w:val="Page Numbers (Bottom of Page)"/>
        <w:docPartUnique/>
      </w:docPartObj>
    </w:sdtPr>
    <w:sdtContent>
      <w:p w:rsidR="00483D47" w:rsidRDefault="00483D47">
        <w:pPr>
          <w:pStyle w:val="a4"/>
          <w:jc w:val="center"/>
        </w:pPr>
        <w:r>
          <w:fldChar w:fldCharType="begin"/>
        </w:r>
        <w:r>
          <w:instrText>PAGE   \* MERGEFORMAT</w:instrText>
        </w:r>
        <w:r>
          <w:fldChar w:fldCharType="separate"/>
        </w:r>
        <w:r w:rsidRPr="00483D47">
          <w:rPr>
            <w:noProof/>
            <w:lang w:val="zh-CN"/>
          </w:rPr>
          <w:t>1</w:t>
        </w:r>
        <w:r>
          <w:fldChar w:fldCharType="end"/>
        </w:r>
      </w:p>
    </w:sdtContent>
  </w:sdt>
  <w:p w:rsidR="00483D47" w:rsidRDefault="00483D4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72F4" w:rsidRDefault="005B72F4" w:rsidP="005B72F4">
      <w:r>
        <w:separator/>
      </w:r>
    </w:p>
  </w:footnote>
  <w:footnote w:type="continuationSeparator" w:id="0">
    <w:p w:rsidR="005B72F4" w:rsidRDefault="005B72F4" w:rsidP="005B72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CE892F"/>
    <w:multiLevelType w:val="singleLevel"/>
    <w:tmpl w:val="90CE892F"/>
    <w:lvl w:ilvl="0">
      <w:start w:val="1"/>
      <w:numFmt w:val="decimal"/>
      <w:suff w:val="space"/>
      <w:lvlText w:val="%1."/>
      <w:lvlJc w:val="left"/>
    </w:lvl>
  </w:abstractNum>
  <w:abstractNum w:abstractNumId="1">
    <w:nsid w:val="57F599A6"/>
    <w:multiLevelType w:val="singleLevel"/>
    <w:tmpl w:val="57F599A6"/>
    <w:lvl w:ilvl="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FE5"/>
    <w:rsid w:val="002B0411"/>
    <w:rsid w:val="00483D47"/>
    <w:rsid w:val="005B72F4"/>
    <w:rsid w:val="00951FE5"/>
    <w:rsid w:val="03F50F9B"/>
    <w:rsid w:val="114F061D"/>
    <w:rsid w:val="29596CA4"/>
    <w:rsid w:val="31971CC8"/>
    <w:rsid w:val="5E0B7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B72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B72F4"/>
    <w:rPr>
      <w:kern w:val="2"/>
      <w:sz w:val="18"/>
      <w:szCs w:val="18"/>
    </w:rPr>
  </w:style>
  <w:style w:type="paragraph" w:styleId="a4">
    <w:name w:val="footer"/>
    <w:basedOn w:val="a"/>
    <w:link w:val="Char0"/>
    <w:uiPriority w:val="99"/>
    <w:rsid w:val="005B72F4"/>
    <w:pPr>
      <w:tabs>
        <w:tab w:val="center" w:pos="4153"/>
        <w:tab w:val="right" w:pos="8306"/>
      </w:tabs>
      <w:snapToGrid w:val="0"/>
      <w:jc w:val="left"/>
    </w:pPr>
    <w:rPr>
      <w:sz w:val="18"/>
      <w:szCs w:val="18"/>
    </w:rPr>
  </w:style>
  <w:style w:type="character" w:customStyle="1" w:styleId="Char0">
    <w:name w:val="页脚 Char"/>
    <w:basedOn w:val="a0"/>
    <w:link w:val="a4"/>
    <w:uiPriority w:val="99"/>
    <w:rsid w:val="005B72F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B72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B72F4"/>
    <w:rPr>
      <w:kern w:val="2"/>
      <w:sz w:val="18"/>
      <w:szCs w:val="18"/>
    </w:rPr>
  </w:style>
  <w:style w:type="paragraph" w:styleId="a4">
    <w:name w:val="footer"/>
    <w:basedOn w:val="a"/>
    <w:link w:val="Char0"/>
    <w:uiPriority w:val="99"/>
    <w:rsid w:val="005B72F4"/>
    <w:pPr>
      <w:tabs>
        <w:tab w:val="center" w:pos="4153"/>
        <w:tab w:val="right" w:pos="8306"/>
      </w:tabs>
      <w:snapToGrid w:val="0"/>
      <w:jc w:val="left"/>
    </w:pPr>
    <w:rPr>
      <w:sz w:val="18"/>
      <w:szCs w:val="18"/>
    </w:rPr>
  </w:style>
  <w:style w:type="character" w:customStyle="1" w:styleId="Char0">
    <w:name w:val="页脚 Char"/>
    <w:basedOn w:val="a0"/>
    <w:link w:val="a4"/>
    <w:uiPriority w:val="99"/>
    <w:rsid w:val="005B72F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3645</Words>
  <Characters>292</Characters>
  <Application>Microsoft Office Word</Application>
  <DocSecurity>0</DocSecurity>
  <Lines>2</Lines>
  <Paragraphs>7</Paragraphs>
  <ScaleCrop>false</ScaleCrop>
  <Company>CHINA</Company>
  <LinksUpToDate>false</LinksUpToDate>
  <CharactersWithSpaces>3930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刘足云</cp:lastModifiedBy>
  <cp:revision>5</cp:revision>
  <dcterms:created xsi:type="dcterms:W3CDTF">2021-09-28T06:32:00Z</dcterms:created>
  <dcterms:modified xsi:type="dcterms:W3CDTF">2021-09-28T07:43:00Z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C58B5D674EFD4A30864DD09A69C9F2BD</vt:lpwstr>
  </property>
</Properties>
</file>