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黑体" w:hAnsi="黑体" w:eastAsia="黑体"/>
        </w:rPr>
      </w:pPr>
      <w:bookmarkStart w:id="0" w:name="_Toc111121738"/>
      <w:bookmarkStart w:id="1" w:name="_Hlk75510323"/>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2"/>
        <w:spacing w:line="360" w:lineRule="auto"/>
        <w:ind w:firstLine="420" w:firstLineChars="200"/>
        <w:rPr>
          <w:kern w:val="0"/>
        </w:rPr>
      </w:pPr>
      <w:r>
        <w:rPr>
          <w:rFonts w:hint="eastAsia"/>
          <w:kern w:val="0"/>
        </w:rPr>
        <w:t>本调查制度按报告期别分为年报和季报。</w:t>
      </w:r>
    </w:p>
    <w:p>
      <w:pPr>
        <w:pStyle w:val="2"/>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2"/>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2"/>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2"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3" w:name="_Hlk74235924"/>
      <w:r>
        <w:rPr>
          <w:rFonts w:hint="eastAsia" w:ascii="宋体" w:hAnsi="宋体"/>
          <w:kern w:val="0"/>
        </w:rPr>
        <w:t>通过教育统计管理信息系统</w:t>
      </w:r>
      <w:bookmarkEnd w:id="3"/>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2"/>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4" w:name="_Hlk74236703"/>
      <w:r>
        <w:rPr>
          <w:rFonts w:hint="eastAsia"/>
        </w:rPr>
        <w:t>《各级各类学校基本建设完成情况表》</w:t>
      </w:r>
      <w:bookmarkEnd w:id="4"/>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5"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5"/>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6" w:name="_Hlk74239817"/>
      <w:r>
        <w:rPr>
          <w:rFonts w:hint="eastAsia" w:ascii="宋体" w:hAnsi="宋体"/>
          <w:kern w:val="0"/>
        </w:rPr>
        <w:t>教育统计管理信息系统</w:t>
      </w:r>
      <w:bookmarkEnd w:id="6"/>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7"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7"/>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8"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9" w:name="_Hlk76992503"/>
      <w:r>
        <w:rPr>
          <w:rFonts w:hint="eastAsia" w:ascii="宋体" w:hAnsi="宋体"/>
          <w:kern w:val="0"/>
        </w:rPr>
        <w:t>上报数据应按照会议制度集体讨论决定，并留存相应会议纪要，最终经单位负责人签字确认</w:t>
      </w:r>
      <w:bookmarkEnd w:id="9"/>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8"/>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10"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10"/>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rPr>
          <w:rFonts w:ascii="宋体" w:hAnsi="宋体"/>
          <w:kern w:val="0"/>
        </w:rPr>
      </w:pPr>
      <w:r>
        <w:rPr>
          <w:rFonts w:hint="eastAsia"/>
        </w:rPr>
        <w:t>本调查制度使用本部门基本单位名录库。</w:t>
      </w:r>
    </w:p>
    <w:bookmarkEnd w:id="1"/>
    <w:p>
      <w:pPr>
        <w:pStyle w:val="4"/>
        <w:rPr>
          <w:rFonts w:ascii="宋体" w:hAnsi="宋体"/>
        </w:rPr>
      </w:pPr>
      <w:r>
        <w:rPr>
          <w:rFonts w:ascii="黑体" w:eastAsia="黑体"/>
        </w:rPr>
        <w:br w:type="page"/>
      </w:r>
      <w:bookmarkStart w:id="11" w:name="_Toc111121742"/>
      <w:bookmarkStart w:id="12" w:name="_Hlk106010392"/>
      <w:r>
        <w:rPr>
          <w:rFonts w:hint="eastAsia" w:ascii="宋体" w:hAnsi="宋体"/>
          <w:szCs w:val="28"/>
        </w:rPr>
        <w:t>（</w:t>
      </w:r>
      <w:r>
        <w:rPr>
          <w:rFonts w:hint="eastAsia" w:ascii="宋体" w:hAnsi="宋体"/>
        </w:rPr>
        <w:t>四）高等教育学校基本情况</w:t>
      </w:r>
      <w:bookmarkEnd w:id="11"/>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教基1304</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w:t>
      </w:r>
      <w:r>
        <w:rPr>
          <w:rFonts w:hint="eastAsia" w:ascii="宋体" w:hAnsi="宋体" w:cs="宋体"/>
          <w:sz w:val="18"/>
          <w:szCs w:val="18"/>
        </w:rPr>
        <w:t>国统制〔2021〕</w:t>
      </w:r>
      <w:r>
        <w:rPr>
          <w:rFonts w:hint="eastAsia" w:ascii="宋体" w:hAnsi="宋体"/>
          <w:sz w:val="18"/>
          <w:szCs w:val="18"/>
        </w:rPr>
        <w:t>135</w:t>
      </w:r>
      <w:r>
        <w:rPr>
          <w:rFonts w:hint="eastAsia" w:ascii="宋体" w:hAnsi="宋体" w:cs="宋体"/>
          <w:sz w:val="18"/>
          <w:szCs w:val="18"/>
        </w:rPr>
        <w:t>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tbl>
      <w:tblPr>
        <w:tblStyle w:val="5"/>
        <w:tblW w:w="5970"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18"/>
        <w:gridCol w:w="814"/>
        <w:gridCol w:w="462"/>
        <w:gridCol w:w="1136"/>
        <w:gridCol w:w="1852"/>
        <w:gridCol w:w="1793"/>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567" w:hRule="exact"/>
        </w:trPr>
        <w:tc>
          <w:tcPr>
            <w:tcW w:w="2024" w:type="pct"/>
            <w:tcBorders>
              <w:top w:val="single" w:color="auto" w:sz="8"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指标名称</w:t>
            </w:r>
          </w:p>
        </w:tc>
        <w:tc>
          <w:tcPr>
            <w:tcW w:w="400" w:type="pct"/>
            <w:tcBorders>
              <w:top w:val="single" w:color="auto" w:sz="8" w:space="0"/>
              <w:left w:val="single" w:color="auto" w:sz="2" w:space="0"/>
              <w:bottom w:val="single" w:color="auto" w:sz="2" w:space="0"/>
              <w:right w:val="single" w:color="auto" w:sz="2" w:space="0"/>
            </w:tcBorders>
            <w:vAlign w:val="center"/>
          </w:tcPr>
          <w:p>
            <w:pPr>
              <w:widowControl/>
              <w:spacing w:line="280" w:lineRule="exact"/>
              <w:ind w:left="-44" w:leftChars="-21"/>
              <w:jc w:val="center"/>
              <w:rPr>
                <w:rFonts w:ascii="宋体" w:hAnsi="宋体" w:cs="宋体"/>
                <w:sz w:val="18"/>
                <w:szCs w:val="18"/>
              </w:rPr>
            </w:pPr>
            <w:r>
              <w:rPr>
                <w:rFonts w:hint="eastAsia" w:ascii="宋体" w:hAnsi="宋体" w:cs="宋体"/>
                <w:sz w:val="18"/>
                <w:szCs w:val="18"/>
              </w:rPr>
              <w:t>计量单位</w:t>
            </w:r>
          </w:p>
        </w:tc>
        <w:tc>
          <w:tcPr>
            <w:tcW w:w="227" w:type="pct"/>
            <w:tcBorders>
              <w:top w:val="single" w:color="auto" w:sz="8"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代码</w:t>
            </w:r>
          </w:p>
        </w:tc>
        <w:tc>
          <w:tcPr>
            <w:tcW w:w="558"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数量</w:t>
            </w:r>
          </w:p>
        </w:tc>
        <w:tc>
          <w:tcPr>
            <w:tcW w:w="910"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备注</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甲</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乙</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丙</w:t>
            </w:r>
          </w:p>
        </w:tc>
        <w:tc>
          <w:tcPr>
            <w:tcW w:w="55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丁</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01</w:t>
            </w:r>
          </w:p>
        </w:tc>
        <w:tc>
          <w:tcPr>
            <w:tcW w:w="558" w:type="pct"/>
            <w:tcBorders>
              <w:top w:val="single" w:color="auto" w:sz="2" w:space="0"/>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国家一流学科数量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省级一流学科数量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国家重点实验室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sz w:val="18"/>
                <w:szCs w:val="18"/>
              </w:rPr>
              <w:t>国家工程实验室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国家工程技术研究中心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博士后科研流动站</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应届毕业生就业人数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1</w:t>
            </w:r>
            <w:r>
              <w:rPr>
                <w:rFonts w:ascii="宋体" w:hAnsi="宋体"/>
                <w:sz w:val="18"/>
                <w:szCs w:val="18"/>
              </w:rPr>
              <w:t>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应届毕业生升学人数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专业数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授予同等学力申请硕士学位人数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授予同等学力申请博士学位人数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中国科学院院士（人事关系在本校）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中国工程院院士（人事关系在本校）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9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在校生中住宿生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研究生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7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实有床位数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tcPr>
          <w:p>
            <w:pPr>
              <w:widowControl/>
              <w:spacing w:line="280" w:lineRule="exact"/>
              <w:ind w:firstLine="180" w:firstLineChars="100"/>
              <w:jc w:val="left"/>
              <w:rPr>
                <w:rFonts w:ascii="宋体" w:hAnsi="宋体" w:cs="宋体"/>
                <w:sz w:val="18"/>
                <w:szCs w:val="18"/>
              </w:rPr>
            </w:pPr>
            <w:r>
              <w:rPr>
                <w:rFonts w:hint="eastAsia" w:ascii="宋体" w:hAnsi="宋体" w:cs="宋体"/>
                <w:sz w:val="18"/>
                <w:szCs w:val="18"/>
              </w:rPr>
              <w:t>非学校产权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上学年参加国家学生体质健康标准测试人数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优秀</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良好</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不及格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上学年全日制在校生短期出国校际交流人数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博物馆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美术馆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音乐厅和剧场</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96" w:hRule="exact"/>
        </w:trPr>
        <w:tc>
          <w:tcPr>
            <w:tcW w:w="2024" w:type="pct"/>
            <w:tcBorders>
              <w:top w:val="single" w:color="auto" w:sz="2" w:space="0"/>
              <w:bottom w:val="single" w:color="auto" w:sz="2" w:space="0"/>
            </w:tcBorders>
            <w:shd w:val="clear" w:color="auto" w:fill="auto"/>
            <w:vAlign w:val="bottom"/>
          </w:tcPr>
          <w:p>
            <w:pPr>
              <w:spacing w:line="280" w:lineRule="exact"/>
              <w:rPr>
                <w:rFonts w:ascii="宋体" w:hAnsi="宋体"/>
                <w:sz w:val="18"/>
                <w:szCs w:val="18"/>
              </w:rPr>
            </w:pPr>
            <w:r>
              <w:rPr>
                <w:rFonts w:hint="eastAsia" w:ascii="宋体" w:hAnsi="宋体" w:cs="宋体"/>
                <w:kern w:val="0"/>
                <w:sz w:val="18"/>
                <w:szCs w:val="18"/>
              </w:rPr>
              <w:t>学校附属医院</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建筑面积</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平方米</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床位数</w:t>
            </w:r>
            <w:r>
              <w:rPr>
                <w:rFonts w:ascii="宋体" w:hAnsi="宋体" w:cs="宋体"/>
                <w:kern w:val="0"/>
                <w:sz w:val="18"/>
                <w:szCs w:val="18"/>
              </w:rPr>
              <w:t xml:space="preserve"> </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临床教师</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学校附属幼儿园、中小学</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安全保卫人员</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学校首席信息官（</w:t>
            </w:r>
            <w:r>
              <w:rPr>
                <w:rFonts w:ascii="宋体" w:hAnsi="宋体"/>
                <w:sz w:val="18"/>
                <w:szCs w:val="18"/>
              </w:rPr>
              <w:t>CIO）</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预防艾滋病教育和性教育相关课程和活动</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预科注册学生数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4</w:t>
            </w:r>
          </w:p>
        </w:tc>
        <w:tc>
          <w:tcPr>
            <w:tcW w:w="558" w:type="pct"/>
            <w:tcBorders>
              <w:top w:val="nil"/>
              <w:left w:val="single" w:color="auto" w:sz="2" w:space="0"/>
              <w:bottom w:val="single" w:color="auto" w:sz="2" w:space="0"/>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4119" w:type="pct"/>
            <w:gridSpan w:val="5"/>
            <w:tcBorders>
              <w:top w:val="single" w:color="auto" w:sz="2" w:space="0"/>
              <w:bottom w:val="single" w:color="auto" w:sz="8" w:space="0"/>
              <w:right w:val="nil"/>
            </w:tcBorders>
            <w:vAlign w:val="center"/>
          </w:tcPr>
          <w:p>
            <w:pPr>
              <w:spacing w:line="280" w:lineRule="exact"/>
              <w:rPr>
                <w:rFonts w:ascii="宋体" w:hAnsi="宋体" w:cs="宋体"/>
                <w:sz w:val="18"/>
                <w:szCs w:val="18"/>
              </w:rPr>
            </w:pPr>
            <w:r>
              <w:rPr>
                <w:rFonts w:hint="eastAsia" w:ascii="宋体" w:hAnsi="宋体" w:cs="宋体"/>
                <w:sz w:val="18"/>
                <w:szCs w:val="18"/>
              </w:rPr>
              <w:t>学校简介：</w:t>
            </w:r>
          </w:p>
          <w:p>
            <w:pPr>
              <w:spacing w:line="280" w:lineRule="exact"/>
              <w:ind w:firstLine="360" w:firstLineChars="200"/>
              <w:rPr>
                <w:rFonts w:ascii="宋体" w:hAnsi="宋体" w:cs="宋体"/>
                <w:sz w:val="18"/>
                <w:szCs w:val="18"/>
              </w:rPr>
            </w:pPr>
            <w:r>
              <w:rPr>
                <w:rFonts w:hint="eastAsia" w:ascii="宋体" w:hAnsi="宋体" w:cs="宋体"/>
                <w:sz w:val="18"/>
                <w:szCs w:val="18"/>
              </w:rPr>
              <w:t>一、历史沿革：</w:t>
            </w:r>
          </w:p>
          <w:p>
            <w:pPr>
              <w:spacing w:line="280" w:lineRule="exact"/>
              <w:ind w:firstLine="360" w:firstLineChars="200"/>
              <w:rPr>
                <w:rFonts w:ascii="宋体" w:hAnsi="宋体" w:cs="宋体"/>
                <w:sz w:val="18"/>
                <w:szCs w:val="18"/>
              </w:rPr>
            </w:pPr>
            <w:r>
              <w:rPr>
                <w:rFonts w:hint="eastAsia" w:ascii="宋体" w:hAnsi="宋体" w:cs="宋体"/>
                <w:sz w:val="18"/>
                <w:szCs w:val="18"/>
              </w:rPr>
              <w:t>二、院系设置：</w:t>
            </w:r>
          </w:p>
          <w:p>
            <w:pPr>
              <w:spacing w:line="280" w:lineRule="exact"/>
              <w:ind w:firstLine="360" w:firstLineChars="200"/>
              <w:rPr>
                <w:rFonts w:ascii="宋体" w:hAnsi="宋体" w:cs="宋体"/>
                <w:sz w:val="18"/>
                <w:szCs w:val="18"/>
              </w:rPr>
            </w:pPr>
            <w:r>
              <w:rPr>
                <w:rFonts w:hint="eastAsia" w:ascii="宋体" w:hAnsi="宋体" w:cs="宋体"/>
                <w:sz w:val="18"/>
                <w:szCs w:val="18"/>
              </w:rPr>
              <w:t>三、专业设置：</w:t>
            </w:r>
          </w:p>
          <w:p>
            <w:pPr>
              <w:spacing w:line="280" w:lineRule="exact"/>
              <w:ind w:firstLine="360" w:firstLineChars="200"/>
              <w:rPr>
                <w:rFonts w:ascii="宋体" w:hAnsi="宋体" w:cs="宋体"/>
                <w:sz w:val="18"/>
                <w:szCs w:val="18"/>
              </w:rPr>
            </w:pPr>
            <w:r>
              <w:rPr>
                <w:rFonts w:hint="eastAsia" w:ascii="宋体" w:hAnsi="宋体" w:cs="宋体"/>
                <w:sz w:val="18"/>
                <w:szCs w:val="18"/>
              </w:rPr>
              <w:t>四、国家级、省部级研究机构设置：</w:t>
            </w:r>
          </w:p>
          <w:p>
            <w:pPr>
              <w:spacing w:line="280" w:lineRule="exact"/>
              <w:ind w:firstLine="720" w:firstLineChars="400"/>
              <w:rPr>
                <w:rFonts w:ascii="宋体" w:hAnsi="宋体" w:cs="宋体"/>
                <w:sz w:val="18"/>
                <w:szCs w:val="18"/>
              </w:rPr>
            </w:pPr>
            <w:r>
              <w:rPr>
                <w:rFonts w:ascii="宋体" w:hAnsi="宋体" w:cs="宋体"/>
                <w:sz w:val="18"/>
                <w:szCs w:val="18"/>
              </w:rPr>
              <w:t>1.实验室：</w:t>
            </w:r>
          </w:p>
          <w:p>
            <w:pPr>
              <w:spacing w:line="280" w:lineRule="exact"/>
              <w:ind w:firstLine="720" w:firstLineChars="400"/>
              <w:rPr>
                <w:rFonts w:ascii="宋体" w:hAnsi="宋体" w:cs="宋体"/>
                <w:sz w:val="18"/>
                <w:szCs w:val="18"/>
              </w:rPr>
            </w:pPr>
            <w:r>
              <w:rPr>
                <w:rFonts w:ascii="宋体" w:hAnsi="宋体" w:cs="宋体"/>
                <w:sz w:val="18"/>
                <w:szCs w:val="18"/>
              </w:rPr>
              <w:t>2.研究中心（所）：</w:t>
            </w:r>
          </w:p>
          <w:p>
            <w:pPr>
              <w:spacing w:line="280" w:lineRule="exact"/>
              <w:ind w:firstLine="360" w:firstLineChars="200"/>
              <w:rPr>
                <w:rFonts w:ascii="宋体" w:hAnsi="宋体" w:cs="宋体"/>
                <w:sz w:val="18"/>
                <w:szCs w:val="18"/>
              </w:rPr>
            </w:pPr>
            <w:r>
              <w:rPr>
                <w:rFonts w:hint="eastAsia" w:ascii="宋体" w:hAnsi="宋体" w:cs="宋体"/>
                <w:sz w:val="18"/>
                <w:szCs w:val="18"/>
              </w:rPr>
              <w:t>五、博士后科研流动站：</w:t>
            </w:r>
          </w:p>
          <w:p>
            <w:pPr>
              <w:spacing w:line="280" w:lineRule="exact"/>
              <w:ind w:firstLine="360" w:firstLineChars="200"/>
              <w:rPr>
                <w:rFonts w:ascii="宋体" w:hAnsi="宋体" w:cs="宋体"/>
                <w:sz w:val="18"/>
                <w:szCs w:val="18"/>
              </w:rPr>
            </w:pPr>
            <w:r>
              <w:rPr>
                <w:rFonts w:hint="eastAsia" w:ascii="宋体" w:hAnsi="宋体" w:cs="宋体"/>
                <w:sz w:val="18"/>
                <w:szCs w:val="18"/>
              </w:rPr>
              <w:t>六、定期公开出版的专业刊物：</w:t>
            </w:r>
          </w:p>
          <w:p>
            <w:pPr>
              <w:spacing w:line="280" w:lineRule="exact"/>
              <w:ind w:firstLine="360" w:firstLineChars="200"/>
              <w:rPr>
                <w:rFonts w:ascii="宋体" w:hAnsi="宋体" w:cs="宋体"/>
                <w:sz w:val="18"/>
                <w:szCs w:val="18"/>
              </w:rPr>
            </w:pPr>
            <w:r>
              <w:rPr>
                <w:rFonts w:hint="eastAsia" w:ascii="宋体" w:hAnsi="宋体" w:cs="宋体"/>
                <w:sz w:val="18"/>
                <w:szCs w:val="18"/>
              </w:rPr>
              <w:t>七、学校设立奖学金情况：学校设立奖学金</w:t>
            </w:r>
            <w:r>
              <w:rPr>
                <w:rFonts w:ascii="宋体" w:hAnsi="宋体" w:cs="宋体"/>
                <w:sz w:val="18"/>
                <w:szCs w:val="18"/>
              </w:rPr>
              <w:t xml:space="preserve">      </w:t>
            </w:r>
            <w:r>
              <w:rPr>
                <w:rFonts w:hint="eastAsia" w:ascii="宋体" w:hAnsi="宋体" w:cs="宋体"/>
                <w:sz w:val="18"/>
                <w:szCs w:val="18"/>
              </w:rPr>
              <w:t>项，奖励总金额元／年，最低金额　　　元／年。</w:t>
            </w:r>
          </w:p>
          <w:p>
            <w:pPr>
              <w:spacing w:line="280" w:lineRule="exact"/>
              <w:ind w:firstLine="360" w:firstLineChars="200"/>
              <w:rPr>
                <w:rFonts w:ascii="宋体" w:hAnsi="宋体"/>
                <w:sz w:val="18"/>
                <w:szCs w:val="18"/>
              </w:rPr>
            </w:pPr>
            <w:r>
              <w:rPr>
                <w:rFonts w:hint="eastAsia" w:ascii="宋体" w:hAnsi="宋体" w:cs="宋体"/>
                <w:sz w:val="18"/>
                <w:szCs w:val="18"/>
              </w:rPr>
              <w:t>八、主要校办产业：</w:t>
            </w:r>
          </w:p>
        </w:tc>
        <w:tc>
          <w:tcPr>
            <w:tcW w:w="881" w:type="pct"/>
            <w:tcBorders>
              <w:top w:val="nil"/>
              <w:left w:val="nil"/>
              <w:bottom w:val="nil"/>
            </w:tcBorders>
            <w:vAlign w:val="center"/>
          </w:tcPr>
          <w:p>
            <w:pPr>
              <w:ind w:right="720"/>
              <w:rPr>
                <w:rFonts w:ascii="宋体" w:hAnsi="宋体"/>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946" w:hanging="1945" w:hangingChars="1081"/>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分校或大专班）、成人高校（包括职工高校、农民高校、管理干部学院、教育学院、独立函授学院、广播电视大学、其他成人高教机构）和培养研究生的科研机构填报（含撤销学校）。</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1）一流学科数量是指经省级以上教育行政部门认定的一流学科。</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2）国家实验室</w:t>
      </w:r>
      <w:r>
        <w:rPr>
          <w:rFonts w:hint="eastAsia" w:ascii="宋体" w:hAnsi="宋体"/>
          <w:sz w:val="18"/>
          <w:szCs w:val="18"/>
        </w:rPr>
        <w:t>是指</w:t>
      </w:r>
      <w:r>
        <w:rPr>
          <w:rFonts w:ascii="宋体" w:hAnsi="宋体"/>
          <w:sz w:val="18"/>
          <w:szCs w:val="18"/>
        </w:rPr>
        <w:t>以国家现代化建设和社会发展的重大需求为导向，开展基础研究、竞争前沿高技术研究和社会公益研究，积极承担国家重大科研任务的国家级科研机构。根据国家重大战略需求，在新兴前沿交叉领域和具有我国特色和优势的领域，依托国家科研院所和研究型大学，建设若干队伍强、水平高、学科综合交叉的国家实验室。（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国家重点实验室是国家科技创新体系的重要组成部分，国家在某一学科领域或科研前沿重点扶持设立的实验室。是国家组织高水平基础研究和应用基础研究、聚集和培养优秀科学家、开展高层次学术交流的重要基地。（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4）国家工程实验室是国家科技创新体系的重要组成部分，是依托企业、转制科研机构、科研院所或高校等设立的研究开发实体。（国家发展和改革委员会审批）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国家工程研究中心是国家科技创新体系的重要组成部分，根据建设创新型国家和产业结构优化升级的重大战略需求，以提高自主创新能力、增强产业核心竞争能力和发展后劲为目标，组织具有较强研究开发和综合实力的高校、科研机构和企业等建设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6）国家工程技术研究中心是国家科技发展计划的重要组成部分，主要依托于行业、领域科技实力雄厚</w:t>
      </w:r>
      <w:r>
        <w:rPr>
          <w:rFonts w:hint="eastAsia" w:ascii="宋体" w:hAnsi="宋体"/>
          <w:sz w:val="18"/>
          <w:szCs w:val="18"/>
        </w:rPr>
        <w:t>的重点科研机构、科技型企业或高校，拥有国内一流的工程技术研究开发、设计和试验的专业人才队伍，具有较完备的工程技术综合配套试验条件，能够提供多种综合性服务，与相关企业紧密联系，同时具有自我良性循环发展机制的科研开发实体。（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7）博士后科研流动站是指根据《博士后管理工作规定》在高等院校或科研院所具有博士授予权的一级学科内，经批准可以招收博士后研究人员的组织。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8）应届毕业生就业人数是指截至统计时点（9月1日）取得三方协议的应届毕业生人数。不含灵活就业人数。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9）应届毕业生升学人数是指截至统计时点（9月1日）取得上一级学校（含国外高校、成人高校）录取通知书的应届毕业生人数。</w:t>
      </w:r>
      <w:r>
        <w:rPr>
          <w:rFonts w:hint="eastAsia" w:ascii="宋体" w:hAnsi="宋体"/>
          <w:sz w:val="18"/>
          <w:szCs w:val="18"/>
        </w:rPr>
        <w:t>如高等职业教育专科学生取得本科层次教育录取通知书，普通本科学生取得研究生层次录取通知书。</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10）专业数是指经省级以上教育行政部门</w:t>
      </w:r>
      <w:r>
        <w:rPr>
          <w:rFonts w:hint="eastAsia" w:ascii="宋体" w:hAnsi="宋体"/>
          <w:sz w:val="18"/>
          <w:szCs w:val="18"/>
        </w:rPr>
        <w:t>审批和备案的专业数，不包括成人、网络教育的专业数。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11）在校生中住宿生是指在</w:t>
      </w:r>
      <w:r>
        <w:rPr>
          <w:rFonts w:hint="eastAsia" w:ascii="宋体" w:hAnsi="宋体"/>
          <w:sz w:val="18"/>
          <w:szCs w:val="18"/>
        </w:rPr>
        <w:t>学校统一管理的学生宿舍（公寓）里住宿的学生。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12）实有床位数是指截至统计时点（9月1日），学校实际拥有的可提供给在校生住宿的床位数。包括学校产权的</w:t>
      </w:r>
      <w:r>
        <w:rPr>
          <w:rFonts w:hint="eastAsia" w:ascii="宋体" w:hAnsi="宋体"/>
          <w:sz w:val="18"/>
          <w:szCs w:val="18"/>
        </w:rPr>
        <w:t>和学校在校外统一租用的非学校产权的床位数。</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3</w:t>
      </w:r>
      <w:r>
        <w:rPr>
          <w:rFonts w:hint="eastAsia" w:ascii="宋体" w:hAnsi="宋体"/>
          <w:sz w:val="18"/>
          <w:szCs w:val="18"/>
        </w:rPr>
        <w:t>）临床教师是指学校附属医院中，具有副高级及以上专业技术职务并承担教学任务的临床医务工作者。</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上学年参加国家学生体质健康标准测试人数是指根据《国家学生体质健康标准（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15）上学年全日制在校生短期出国校际交流人数是指普通高校派出全日制在校生到与之有校际交流合作协议的国外大学开展为期三个月或以下的交流学习。</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博物馆是指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7）美术馆是指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音乐厅和剧场是指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9）学校附属医院是指在省级以上教育、卫生行政部门批准备案或省级以上编制部门批准为附属医院的医疗机构，承担1个以上专业的全程临床教育教学任务。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学校首席信息官（CIO）是指根据《教育信息化2.0行动计划》要求，设立的统筹管理教育信息化工作并参与学校相关决策的重要领导。</w:t>
      </w:r>
    </w:p>
    <w:p>
      <w:pPr>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1）预防艾滋病教育和性教育相关课程和活动是指通过在</w:t>
      </w:r>
      <w:r>
        <w:rPr>
          <w:rFonts w:hint="eastAsia" w:ascii="宋体" w:hAnsi="宋体"/>
          <w:sz w:val="18"/>
          <w:szCs w:val="18"/>
        </w:rPr>
        <w:t>高等</w:t>
      </w:r>
      <w:r>
        <w:rPr>
          <w:rFonts w:ascii="宋体" w:hAnsi="宋体"/>
          <w:sz w:val="18"/>
          <w:szCs w:val="18"/>
        </w:rPr>
        <w:t>教育学校开设健康教育相</w:t>
      </w:r>
      <w:r>
        <w:rPr>
          <w:rFonts w:hint="eastAsia" w:ascii="宋体" w:hAnsi="宋体"/>
          <w:sz w:val="18"/>
          <w:szCs w:val="18"/>
        </w:rPr>
        <w:t>关课程，或者利用综合实践活动和地方课程等多途径、多形式向学生传授预防艾滋病和性教育的知识和技能。</w:t>
      </w:r>
    </w:p>
    <w:p>
      <w:pPr>
        <w:spacing w:line="240" w:lineRule="exact"/>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1）硕士、博士学位授权一级学科点填法：如果学校</w:t>
      </w:r>
      <w:r>
        <w:rPr>
          <w:rFonts w:hint="eastAsia" w:ascii="宋体" w:hAnsi="宋体"/>
          <w:sz w:val="18"/>
          <w:szCs w:val="18"/>
        </w:rPr>
        <w:t>同时具有</w:t>
      </w:r>
      <w:r>
        <w:rPr>
          <w:rFonts w:ascii="宋体" w:hAnsi="宋体"/>
          <w:sz w:val="18"/>
          <w:szCs w:val="18"/>
        </w:rPr>
        <w:t>0201哲学一级学科博士</w:t>
      </w:r>
      <w:r>
        <w:rPr>
          <w:rFonts w:hint="eastAsia" w:ascii="宋体" w:hAnsi="宋体"/>
          <w:sz w:val="18"/>
          <w:szCs w:val="18"/>
        </w:rPr>
        <w:t>和硕士授予权，那么硕士、博士学位授权一级学科点各填</w:t>
      </w:r>
      <w:r>
        <w:rPr>
          <w:rFonts w:ascii="宋体" w:hAnsi="宋体"/>
          <w:sz w:val="18"/>
          <w:szCs w:val="18"/>
        </w:rPr>
        <w:t>1个；如果</w:t>
      </w:r>
      <w:r>
        <w:rPr>
          <w:rFonts w:hint="eastAsia" w:ascii="宋体" w:hAnsi="宋体"/>
          <w:sz w:val="18"/>
          <w:szCs w:val="18"/>
        </w:rPr>
        <w:t>只有</w:t>
      </w:r>
      <w:r>
        <w:rPr>
          <w:rFonts w:ascii="宋体" w:hAnsi="宋体"/>
          <w:sz w:val="18"/>
          <w:szCs w:val="18"/>
        </w:rPr>
        <w:t>0201哲学一级学科硕士授予权，硕士学位授权一级学科点填1个，博士学位授权一级学科点不填；</w:t>
      </w:r>
      <w:r>
        <w:rPr>
          <w:rFonts w:hint="eastAsia" w:ascii="宋体" w:hAnsi="宋体"/>
          <w:sz w:val="18"/>
          <w:szCs w:val="18"/>
        </w:rPr>
        <w:t>同时该学科覆盖的硕士、博士学位授权二级学科点不填。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2）硕士、博士学位授权二级学科点填法：如果学校</w:t>
      </w:r>
      <w:r>
        <w:rPr>
          <w:rFonts w:hint="eastAsia" w:ascii="宋体" w:hAnsi="宋体"/>
          <w:sz w:val="18"/>
          <w:szCs w:val="18"/>
        </w:rPr>
        <w:t>同时具有</w:t>
      </w:r>
      <w:r>
        <w:rPr>
          <w:rFonts w:ascii="宋体" w:hAnsi="宋体"/>
          <w:sz w:val="18"/>
          <w:szCs w:val="18"/>
        </w:rPr>
        <w:t>010101马克思主义哲学、010102中国哲学两个二级学科博士</w:t>
      </w:r>
      <w:r>
        <w:rPr>
          <w:rFonts w:hint="eastAsia" w:ascii="宋体" w:hAnsi="宋体"/>
          <w:sz w:val="18"/>
          <w:szCs w:val="18"/>
        </w:rPr>
        <w:t>和硕士学位授予权，硕士、博士学位授权二级学科点各填</w:t>
      </w:r>
      <w:r>
        <w:rPr>
          <w:rFonts w:ascii="宋体" w:hAnsi="宋体"/>
          <w:sz w:val="18"/>
          <w:szCs w:val="18"/>
        </w:rPr>
        <w:t>2个；如果学校只具有010101马克思主义哲学、010102中国哲学两个二级学科硕士学位授予权，硕士</w:t>
      </w:r>
      <w:r>
        <w:rPr>
          <w:rFonts w:hint="eastAsia" w:ascii="宋体" w:hAnsi="宋体"/>
          <w:sz w:val="18"/>
          <w:szCs w:val="18"/>
        </w:rPr>
        <w:t>学</w:t>
      </w:r>
      <w:r>
        <w:rPr>
          <w:rFonts w:ascii="宋体" w:hAnsi="宋体"/>
          <w:sz w:val="18"/>
          <w:szCs w:val="18"/>
        </w:rPr>
        <w:t>位授权二级学科点填2个，博士学位授权二级学科点不填；硕士、博士学位授权一级学科点不填。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3）中国科学院院士、中国工程院院士统计人事关系在本校的院士，对既是中国科学院院士又是中国工程院院士的要分别统计。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4）安全保卫人员包括</w:t>
      </w:r>
      <w:r>
        <w:rPr>
          <w:rFonts w:hint="eastAsia" w:ascii="宋体" w:hAnsi="宋体"/>
          <w:sz w:val="18"/>
          <w:szCs w:val="18"/>
        </w:rPr>
        <w:t>主要从事安全保卫工作的校内职工、临时工、外聘保安公司人员等。</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（1）行13=行14+行15+行16；</w:t>
      </w:r>
    </w:p>
    <w:p>
      <w:pPr>
        <w:spacing w:line="240" w:lineRule="exact"/>
        <w:ind w:firstLine="360" w:firstLineChars="200"/>
        <w:rPr>
          <w:rFonts w:ascii="宋体" w:hAnsi="宋体"/>
          <w:sz w:val="18"/>
          <w:szCs w:val="18"/>
        </w:rPr>
      </w:pPr>
      <w:r>
        <w:rPr>
          <w:rFonts w:hint="eastAsia" w:ascii="宋体" w:hAnsi="宋体"/>
          <w:sz w:val="18"/>
          <w:szCs w:val="18"/>
        </w:rPr>
        <w:t>（2）行17=行18+行19+行20；</w:t>
      </w:r>
    </w:p>
    <w:p>
      <w:pPr>
        <w:spacing w:line="240" w:lineRule="exact"/>
        <w:ind w:firstLine="360" w:firstLineChars="200"/>
        <w:rPr>
          <w:rFonts w:ascii="宋体" w:hAnsi="宋体"/>
          <w:sz w:val="18"/>
          <w:szCs w:val="18"/>
        </w:rPr>
      </w:pPr>
      <w:r>
        <w:rPr>
          <w:rFonts w:hint="eastAsia" w:ascii="宋体" w:hAnsi="宋体"/>
          <w:sz w:val="18"/>
          <w:szCs w:val="18"/>
        </w:rPr>
        <w:t>（3）行21=行22+行23+行24；</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4）行29=行30+行31+行32+行33</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5）行34=行35+行36</w:t>
      </w:r>
      <w:r>
        <w:rPr>
          <w:rFonts w:hint="eastAsia" w:ascii="宋体" w:hAnsi="宋体"/>
          <w:sz w:val="18"/>
          <w:szCs w:val="18"/>
        </w:rPr>
        <w:t>；</w:t>
      </w:r>
    </w:p>
    <w:p>
      <w:pPr>
        <w:spacing w:line="240" w:lineRule="exact"/>
        <w:ind w:firstLine="360" w:firstLineChars="200"/>
      </w:pPr>
      <w:r>
        <w:rPr>
          <w:rFonts w:hint="eastAsia" w:ascii="宋体" w:hAnsi="宋体"/>
          <w:sz w:val="18"/>
          <w:szCs w:val="18"/>
        </w:rPr>
        <w:t>（</w:t>
      </w:r>
      <w:r>
        <w:rPr>
          <w:rFonts w:ascii="宋体" w:hAnsi="宋体"/>
          <w:sz w:val="18"/>
          <w:szCs w:val="18"/>
        </w:rPr>
        <w:t>6）行37=行38+行39+行40+行41</w:t>
      </w:r>
      <w:r>
        <w:rPr>
          <w:rFonts w:hint="eastAsia" w:ascii="宋体" w:hAnsi="宋体"/>
          <w:sz w:val="18"/>
          <w:szCs w:val="18"/>
        </w:rPr>
        <w:t>。</w:t>
      </w:r>
      <w:bookmarkEnd w:id="12"/>
      <w:bookmarkStart w:id="13" w:name="_GoBack"/>
      <w:bookmarkEnd w:id="13"/>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49A975F0"/>
    <w:rsid w:val="3CEA0360"/>
    <w:rsid w:val="49A975F0"/>
    <w:rsid w:val="7F820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Subtitle"/>
    <w:basedOn w:val="1"/>
    <w:next w:val="1"/>
    <w:qFormat/>
    <w:uiPriority w:val="0"/>
    <w:pPr>
      <w:spacing w:before="240" w:after="60" w:line="312" w:lineRule="auto"/>
      <w:jc w:val="center"/>
      <w:outlineLvl w:val="1"/>
    </w:pPr>
    <w:rPr>
      <w:rFonts w:ascii="Cambria" w:hAnsi="Cambria"/>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6876</Words>
  <Characters>7143</Characters>
  <Lines>0</Lines>
  <Paragraphs>0</Paragraphs>
  <TotalTime>1</TotalTime>
  <ScaleCrop>false</ScaleCrop>
  <LinksUpToDate>false</LinksUpToDate>
  <CharactersWithSpaces>7160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2022-09-22T08:51:00Z</dcterms:created>
  <dc:creator>Lenovo</dc:creator>
  <cp:lastModifiedBy>Lenovo</cp:lastModifiedBy>
  <dcterms:modified xsi:type="dcterms:W3CDTF">2022-09-27T01:58:10Z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1B30D1FFDF494EC6B94F4276B7504573</vt:lpwstr>
  </property>
</Properties>
</file>