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rPr>
          <w:rFonts w:ascii="黑体" w:hAnsi="黑体" w:eastAsia="黑体"/>
        </w:rPr>
      </w:pPr>
      <w:bookmarkStart w:id="0" w:name="_Toc111121738"/>
      <w:r>
        <w:rPr>
          <w:rFonts w:hint="eastAsia" w:ascii="黑体" w:hAnsi="黑体" w:eastAsia="黑体"/>
        </w:rPr>
        <w:t>一、总</w:t>
      </w:r>
      <w:r>
        <w:rPr>
          <w:rFonts w:ascii="黑体" w:hAnsi="黑体" w:eastAsia="黑体"/>
        </w:rPr>
        <w:t xml:space="preserve"> </w:t>
      </w:r>
      <w:r>
        <w:rPr>
          <w:rFonts w:hint="eastAsia" w:ascii="黑体" w:hAnsi="黑体" w:eastAsia="黑体"/>
        </w:rPr>
        <w:t>说</w:t>
      </w:r>
      <w:r>
        <w:rPr>
          <w:rFonts w:ascii="黑体" w:hAnsi="黑体" w:eastAsia="黑体"/>
        </w:rPr>
        <w:t xml:space="preserve"> </w:t>
      </w:r>
      <w:r>
        <w:rPr>
          <w:rFonts w:hint="eastAsia" w:ascii="黑体" w:hAnsi="黑体" w:eastAsia="黑体"/>
        </w:rPr>
        <w:t>明</w:t>
      </w:r>
      <w:bookmarkEnd w:id="0"/>
    </w:p>
    <w:p>
      <w:pPr>
        <w:spacing w:line="400" w:lineRule="exact"/>
        <w:ind w:firstLine="420" w:firstLineChars="200"/>
        <w:rPr>
          <w:rFonts w:ascii="宋体" w:hAnsi="宋体"/>
          <w:kern w:val="0"/>
        </w:rPr>
      </w:pPr>
      <w:r>
        <w:rPr>
          <w:rFonts w:hint="eastAsia" w:ascii="宋体" w:hAnsi="宋体"/>
          <w:kern w:val="0"/>
        </w:rPr>
        <w:t>（一）调查目的</w:t>
      </w:r>
    </w:p>
    <w:p>
      <w:pPr>
        <w:spacing w:line="400" w:lineRule="exact"/>
        <w:ind w:firstLine="420" w:firstLineChars="200"/>
        <w:rPr>
          <w:rFonts w:ascii="宋体" w:hAnsi="宋体"/>
          <w:kern w:val="0"/>
        </w:rPr>
      </w:pPr>
      <w:r>
        <w:rPr>
          <w:rFonts w:hint="eastAsia" w:ascii="宋体" w:hAnsi="宋体"/>
          <w:kern w:val="0"/>
        </w:rPr>
        <w:t>为全面系统地掌握我国各级各类教育事业的发展状况，为各级教育行政部门制定政策规划、督查工作进展、评价发展水平等提供决策依据，依照《中华人民共和国统计法》的规定，特制定本</w:t>
      </w:r>
      <w:r>
        <w:rPr>
          <w:rFonts w:hint="eastAsia"/>
          <w:kern w:val="0"/>
        </w:rPr>
        <w:t>调查</w:t>
      </w:r>
      <w:r>
        <w:rPr>
          <w:rFonts w:hint="eastAsia" w:ascii="宋体" w:hAnsi="宋体"/>
          <w:kern w:val="0"/>
        </w:rPr>
        <w:t>制度。</w:t>
      </w:r>
    </w:p>
    <w:p>
      <w:pPr>
        <w:spacing w:line="400" w:lineRule="exact"/>
        <w:ind w:firstLine="420" w:firstLineChars="200"/>
        <w:rPr>
          <w:rFonts w:ascii="宋体" w:hAnsi="宋体"/>
          <w:kern w:val="0"/>
        </w:rPr>
      </w:pPr>
      <w:r>
        <w:rPr>
          <w:rFonts w:hint="eastAsia" w:ascii="宋体" w:hAnsi="宋体"/>
          <w:kern w:val="0"/>
        </w:rPr>
        <w:t>（二）调查对象和统计范围</w:t>
      </w:r>
    </w:p>
    <w:p>
      <w:pPr>
        <w:spacing w:line="400" w:lineRule="exact"/>
        <w:ind w:firstLine="420" w:firstLineChars="200"/>
        <w:rPr>
          <w:rFonts w:ascii="宋体" w:hAnsi="宋体"/>
        </w:rPr>
      </w:pPr>
      <w:r>
        <w:rPr>
          <w:rFonts w:hint="eastAsia" w:ascii="宋体" w:hAnsi="宋体"/>
        </w:rPr>
        <w:t>经县级以上人民政府及其教育行政部门按照国家规定批准设立，以及县级以上人民政府其他有关行政部门审批设立并报教育行政部门备案的各级各类学校及其他教育机构。</w:t>
      </w:r>
    </w:p>
    <w:p>
      <w:pPr>
        <w:spacing w:line="400" w:lineRule="exact"/>
        <w:ind w:firstLine="420" w:firstLineChars="200"/>
        <w:rPr>
          <w:rFonts w:ascii="宋体"/>
        </w:rPr>
      </w:pPr>
      <w:r>
        <w:rPr>
          <w:rFonts w:hint="eastAsia" w:ascii="宋体" w:hAnsi="宋体"/>
          <w:kern w:val="0"/>
        </w:rPr>
        <w:t>（三）</w:t>
      </w:r>
      <w:r>
        <w:rPr>
          <w:rFonts w:hint="eastAsia" w:ascii="宋体"/>
        </w:rPr>
        <w:t>调查内容</w:t>
      </w:r>
    </w:p>
    <w:p>
      <w:pPr>
        <w:spacing w:line="400" w:lineRule="exact"/>
        <w:ind w:firstLine="420" w:firstLineChars="200"/>
        <w:rPr>
          <w:rFonts w:ascii="宋体"/>
        </w:rPr>
      </w:pPr>
      <w:r>
        <w:rPr>
          <w:rFonts w:hint="eastAsia"/>
          <w:kern w:val="0"/>
        </w:rPr>
        <w:t>本调查制度</w:t>
      </w:r>
      <w:r>
        <w:rPr>
          <w:rFonts w:hint="eastAsia" w:ascii="宋体"/>
        </w:rPr>
        <w:t>主要调查各级各类学校事业发展情况，包括学校基本情况、班级数、学生数、教职工数、校舍、资产和基本建设投资等指标。</w:t>
      </w:r>
    </w:p>
    <w:p>
      <w:pPr>
        <w:spacing w:line="400" w:lineRule="exact"/>
        <w:ind w:firstLine="420" w:firstLineChars="200"/>
        <w:rPr>
          <w:rFonts w:ascii="宋体" w:hAnsi="宋体"/>
          <w:kern w:val="0"/>
        </w:rPr>
      </w:pPr>
      <w:r>
        <w:rPr>
          <w:rFonts w:hint="eastAsia" w:ascii="宋体" w:hAnsi="宋体"/>
          <w:kern w:val="0"/>
        </w:rPr>
        <w:t>（四）调查频率和时间</w:t>
      </w:r>
    </w:p>
    <w:p>
      <w:pPr>
        <w:pStyle w:val="2"/>
        <w:spacing w:line="360" w:lineRule="auto"/>
        <w:ind w:firstLine="420" w:firstLineChars="200"/>
        <w:rPr>
          <w:kern w:val="0"/>
        </w:rPr>
      </w:pPr>
      <w:r>
        <w:rPr>
          <w:rFonts w:hint="eastAsia"/>
          <w:kern w:val="0"/>
        </w:rPr>
        <w:t>本调查制度按报告期别分为年报和季报。</w:t>
      </w:r>
    </w:p>
    <w:p>
      <w:pPr>
        <w:pStyle w:val="2"/>
        <w:spacing w:line="360" w:lineRule="auto"/>
        <w:ind w:firstLine="420" w:firstLineChars="200"/>
        <w:rPr>
          <w:rFonts w:hAnsi="宋体"/>
        </w:rPr>
      </w:pPr>
      <w:r>
        <w:rPr>
          <w:rFonts w:hAnsi="宋体"/>
        </w:rPr>
        <w:t>1.</w:t>
      </w:r>
      <w:r>
        <w:rPr>
          <w:rFonts w:hint="eastAsia" w:hAnsi="宋体"/>
        </w:rPr>
        <w:t>年报调查时间，时点指标填写本学年初（</w:t>
      </w:r>
      <w:r>
        <w:rPr>
          <w:rFonts w:hAnsi="宋体"/>
        </w:rPr>
        <w:t>9月1日）的数据，如在校生数、教职工数、占地面积、固定资产总值等；时期指标填写上学年初至学年末（上年9月1日至本年8月31日）的数据，如毕业生数、复学学生数</w:t>
      </w:r>
      <w:r>
        <w:rPr>
          <w:rFonts w:hint="eastAsia" w:hAnsi="宋体"/>
        </w:rPr>
        <w:t>等</w:t>
      </w:r>
      <w:r>
        <w:rPr>
          <w:rFonts w:hAnsi="宋体"/>
        </w:rPr>
        <w:t>。</w:t>
      </w:r>
    </w:p>
    <w:p>
      <w:pPr>
        <w:pStyle w:val="2"/>
        <w:spacing w:line="360" w:lineRule="auto"/>
        <w:ind w:firstLine="420" w:firstLineChars="200"/>
        <w:rPr>
          <w:rFonts w:hAnsi="宋体"/>
        </w:rPr>
      </w:pPr>
      <w:r>
        <w:rPr>
          <w:rFonts w:hint="eastAsia" w:hAnsi="宋体"/>
        </w:rPr>
        <w:t>季报调查时期第一季度为</w:t>
      </w:r>
      <w:r>
        <w:rPr>
          <w:rFonts w:hAnsi="宋体"/>
        </w:rPr>
        <w:t>1月1日-3</w:t>
      </w:r>
      <w:r>
        <w:rPr>
          <w:rFonts w:hint="eastAsia" w:hAnsi="宋体"/>
        </w:rPr>
        <w:t>月</w:t>
      </w:r>
      <w:r>
        <w:rPr>
          <w:rFonts w:hAnsi="宋体"/>
        </w:rPr>
        <w:t>31</w:t>
      </w:r>
      <w:r>
        <w:rPr>
          <w:rFonts w:hint="eastAsia" w:hAnsi="宋体"/>
        </w:rPr>
        <w:t>日；第二季度为</w:t>
      </w:r>
      <w:r>
        <w:rPr>
          <w:rFonts w:hAnsi="宋体"/>
        </w:rPr>
        <w:t>4月1日-6</w:t>
      </w:r>
      <w:r>
        <w:rPr>
          <w:rFonts w:hint="eastAsia" w:hAnsi="宋体"/>
        </w:rPr>
        <w:t>月</w:t>
      </w:r>
      <w:r>
        <w:rPr>
          <w:rFonts w:hAnsi="宋体"/>
        </w:rPr>
        <w:t>30</w:t>
      </w:r>
      <w:r>
        <w:rPr>
          <w:rFonts w:hint="eastAsia" w:hAnsi="宋体"/>
        </w:rPr>
        <w:t>日；第四季度为</w:t>
      </w:r>
      <w:r>
        <w:rPr>
          <w:rFonts w:hAnsi="宋体"/>
        </w:rPr>
        <w:t>10</w:t>
      </w:r>
      <w:r>
        <w:rPr>
          <w:rFonts w:hint="eastAsia" w:hAnsi="宋体"/>
        </w:rPr>
        <w:t>月</w:t>
      </w:r>
      <w:r>
        <w:rPr>
          <w:rFonts w:hAnsi="宋体"/>
        </w:rPr>
        <w:t>1日-12</w:t>
      </w:r>
      <w:r>
        <w:rPr>
          <w:rFonts w:hint="eastAsia" w:hAnsi="宋体"/>
        </w:rPr>
        <w:t>月</w:t>
      </w:r>
      <w:r>
        <w:rPr>
          <w:rFonts w:hAnsi="宋体"/>
        </w:rPr>
        <w:t>31</w:t>
      </w:r>
      <w:r>
        <w:rPr>
          <w:rFonts w:hint="eastAsia" w:hAnsi="宋体"/>
        </w:rPr>
        <w:t>日。第三季度数据同年报数据。</w:t>
      </w:r>
    </w:p>
    <w:p>
      <w:pPr>
        <w:pStyle w:val="2"/>
        <w:spacing w:line="360" w:lineRule="auto"/>
        <w:ind w:firstLine="420" w:firstLineChars="200"/>
        <w:rPr>
          <w:rFonts w:ascii="Times New Roman" w:hAnsi="Times New Roman"/>
        </w:rPr>
      </w:pPr>
      <w:r>
        <w:rPr>
          <w:rFonts w:hAnsi="宋体"/>
        </w:rPr>
        <w:t>2.</w:t>
      </w:r>
      <w:r>
        <w:rPr>
          <w:rFonts w:hint="eastAsia" w:hAnsi="宋体"/>
        </w:rPr>
        <w:t>《各级各类学校基本建设完成情况表》调查时期为</w:t>
      </w:r>
      <w:r>
        <w:rPr>
          <w:rFonts w:hint="eastAsia"/>
          <w:snapToGrid w:val="0"/>
        </w:rPr>
        <w:t>上年度</w:t>
      </w:r>
      <w:r>
        <w:rPr>
          <w:rFonts w:hAnsi="宋体"/>
        </w:rPr>
        <w:t>1月1日</w:t>
      </w:r>
      <w:r>
        <w:rPr>
          <w:rFonts w:hint="eastAsia" w:hAnsi="宋体"/>
        </w:rPr>
        <w:t>—</w:t>
      </w:r>
      <w:r>
        <w:rPr>
          <w:rFonts w:hAnsi="宋体"/>
        </w:rPr>
        <w:t>12月31日</w:t>
      </w:r>
      <w:r>
        <w:rPr>
          <w:rFonts w:hint="eastAsia" w:ascii="Times New Roman" w:hAnsi="Times New Roman"/>
        </w:rPr>
        <w:t>。</w:t>
      </w:r>
    </w:p>
    <w:p>
      <w:pPr>
        <w:spacing w:line="400" w:lineRule="exact"/>
        <w:ind w:firstLine="420" w:firstLineChars="200"/>
        <w:rPr>
          <w:rFonts w:ascii="宋体" w:hAnsi="宋体"/>
          <w:kern w:val="0"/>
        </w:rPr>
      </w:pPr>
      <w:r>
        <w:rPr>
          <w:rFonts w:hint="eastAsia" w:ascii="宋体" w:hAnsi="宋体"/>
          <w:kern w:val="0"/>
        </w:rPr>
        <w:t>（五）调查方法</w:t>
      </w:r>
    </w:p>
    <w:p>
      <w:pPr>
        <w:spacing w:line="400" w:lineRule="exact"/>
        <w:ind w:firstLine="420" w:firstLineChars="200"/>
        <w:rPr>
          <w:rFonts w:ascii="宋体" w:hAnsi="宋体"/>
          <w:kern w:val="0"/>
        </w:rPr>
      </w:pPr>
      <w:r>
        <w:rPr>
          <w:rFonts w:hint="eastAsia" w:ascii="宋体" w:hAnsi="宋体"/>
          <w:kern w:val="0"/>
        </w:rPr>
        <w:t>本</w:t>
      </w:r>
      <w:r>
        <w:rPr>
          <w:rFonts w:hint="eastAsia"/>
          <w:kern w:val="0"/>
        </w:rPr>
        <w:t>调查</w:t>
      </w:r>
      <w:r>
        <w:rPr>
          <w:rFonts w:hint="eastAsia" w:ascii="宋体" w:hAnsi="宋体"/>
          <w:kern w:val="0"/>
        </w:rPr>
        <w:t>制度采用全面调查。</w:t>
      </w:r>
    </w:p>
    <w:p>
      <w:pPr>
        <w:spacing w:line="400" w:lineRule="exact"/>
        <w:ind w:firstLine="420" w:firstLineChars="200"/>
        <w:rPr>
          <w:rFonts w:ascii="宋体" w:hAnsi="宋体"/>
          <w:kern w:val="0"/>
        </w:rPr>
      </w:pPr>
      <w:r>
        <w:rPr>
          <w:rFonts w:hint="eastAsia" w:ascii="宋体" w:hAnsi="宋体"/>
          <w:kern w:val="0"/>
        </w:rPr>
        <w:t>（六）组织实施</w:t>
      </w:r>
    </w:p>
    <w:p>
      <w:pPr>
        <w:spacing w:line="400" w:lineRule="exact"/>
        <w:ind w:firstLine="420" w:firstLineChars="200"/>
        <w:rPr>
          <w:rFonts w:ascii="宋体" w:hAnsi="宋体"/>
          <w:kern w:val="0"/>
        </w:rPr>
      </w:pPr>
      <w:r>
        <w:rPr>
          <w:rFonts w:ascii="宋体" w:hAnsi="宋体"/>
          <w:kern w:val="0"/>
        </w:rPr>
        <w:t>1.</w:t>
      </w:r>
      <w:r>
        <w:rPr>
          <w:rFonts w:hint="eastAsia" w:ascii="宋体" w:hAnsi="宋体"/>
          <w:kern w:val="0"/>
        </w:rPr>
        <w:t>本调查制度由教育部统一组织。</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统计工作流程采用自上而下逐级布置、自下而上逐级汇总的方式。调查表的收集、审核、汇总由各省、自治区、直辖市教育厅（教委）负责，汇总后统一报送教育部。其中，教育事业统计由统计归口部门具体组织实施；《各级各类学校基本建设完成情况表》由基建管理部门具体组织实施。</w:t>
      </w:r>
    </w:p>
    <w:p>
      <w:pPr>
        <w:spacing w:line="400" w:lineRule="exact"/>
        <w:ind w:firstLine="420" w:firstLineChars="200"/>
        <w:rPr>
          <w:rFonts w:ascii="宋体" w:hAnsi="宋体"/>
          <w:kern w:val="0"/>
        </w:rPr>
      </w:pPr>
      <w:r>
        <w:rPr>
          <w:rFonts w:ascii="宋体" w:hAnsi="宋体"/>
          <w:kern w:val="0"/>
        </w:rPr>
        <w:t>3．教育部负责全国数据的汇总工作。</w:t>
      </w:r>
    </w:p>
    <w:p>
      <w:pPr>
        <w:spacing w:line="400" w:lineRule="exact"/>
        <w:ind w:firstLine="420" w:firstLineChars="200"/>
        <w:rPr>
          <w:rFonts w:ascii="宋体" w:hAnsi="宋体"/>
          <w:kern w:val="0"/>
        </w:rPr>
      </w:pPr>
      <w:r>
        <w:rPr>
          <w:rFonts w:hint="eastAsia" w:ascii="宋体" w:hAnsi="宋体"/>
          <w:kern w:val="0"/>
        </w:rPr>
        <w:t>（七）报送要求</w:t>
      </w:r>
    </w:p>
    <w:p>
      <w:pPr>
        <w:spacing w:line="400" w:lineRule="exact"/>
        <w:ind w:firstLine="420" w:firstLineChars="200"/>
        <w:rPr>
          <w:rFonts w:ascii="宋体" w:hAnsi="宋体"/>
          <w:kern w:val="0"/>
        </w:rPr>
      </w:pPr>
      <w:r>
        <w:rPr>
          <w:rFonts w:ascii="宋体" w:hAnsi="宋体"/>
          <w:kern w:val="0"/>
        </w:rPr>
        <w:t>1.</w:t>
      </w:r>
      <w:bookmarkStart w:id="1" w:name="_Hlk78879852"/>
      <w:r>
        <w:rPr>
          <w:rFonts w:hint="eastAsia" w:ascii="宋体" w:hAnsi="宋体"/>
          <w:kern w:val="0"/>
        </w:rPr>
        <w:t>报送时间：</w:t>
      </w:r>
    </w:p>
    <w:p>
      <w:pPr>
        <w:spacing w:line="400" w:lineRule="exact"/>
        <w:ind w:firstLine="420" w:firstLineChars="200"/>
        <w:rPr>
          <w:rFonts w:ascii="宋体" w:hAnsi="宋体"/>
          <w:kern w:val="0"/>
        </w:rPr>
      </w:pPr>
      <w:r>
        <w:rPr>
          <w:rFonts w:hint="eastAsia" w:ascii="宋体" w:hAnsi="宋体"/>
          <w:kern w:val="0"/>
        </w:rPr>
        <w:t>年报报送时间基础教育学校和中等职业学校报送时间为</w:t>
      </w:r>
      <w:r>
        <w:rPr>
          <w:rFonts w:ascii="宋体" w:hAnsi="宋体"/>
          <w:kern w:val="0"/>
        </w:rPr>
        <w:t>10月15日前，高等教育学校报送时间为10月31日前。《各级各类学校基本建设完成情况表》报送时间为</w:t>
      </w:r>
      <w:r>
        <w:rPr>
          <w:rFonts w:hint="eastAsia" w:ascii="宋体" w:hAnsi="宋体"/>
          <w:kern w:val="0"/>
        </w:rPr>
        <w:t>次年</w:t>
      </w:r>
      <w:r>
        <w:rPr>
          <w:rFonts w:ascii="宋体" w:hAnsi="宋体"/>
          <w:kern w:val="0"/>
        </w:rPr>
        <w:t>3月30日前。</w:t>
      </w:r>
    </w:p>
    <w:p>
      <w:pPr>
        <w:spacing w:line="400" w:lineRule="exact"/>
        <w:ind w:firstLine="420" w:firstLineChars="200"/>
        <w:rPr>
          <w:rFonts w:ascii="宋体" w:hAnsi="宋体"/>
          <w:kern w:val="0"/>
        </w:rPr>
      </w:pPr>
      <w:r>
        <w:rPr>
          <w:rFonts w:hint="eastAsia" w:ascii="宋体" w:hAnsi="宋体"/>
          <w:kern w:val="0"/>
        </w:rPr>
        <w:t>季报报送时间第一季度为</w:t>
      </w:r>
      <w:r>
        <w:rPr>
          <w:rFonts w:ascii="宋体" w:hAnsi="宋体"/>
          <w:kern w:val="0"/>
        </w:rPr>
        <w:t>4月15日前，</w:t>
      </w:r>
      <w:r>
        <w:rPr>
          <w:rFonts w:hint="eastAsia" w:ascii="宋体" w:hAnsi="宋体"/>
          <w:kern w:val="0"/>
        </w:rPr>
        <w:t>第二季度为</w:t>
      </w:r>
      <w:r>
        <w:rPr>
          <w:rFonts w:ascii="宋体" w:hAnsi="宋体"/>
          <w:kern w:val="0"/>
        </w:rPr>
        <w:t>7月15日前和</w:t>
      </w:r>
      <w:r>
        <w:rPr>
          <w:rFonts w:hint="eastAsia" w:ascii="宋体" w:hAnsi="宋体"/>
          <w:kern w:val="0"/>
        </w:rPr>
        <w:t>第四季度为</w:t>
      </w:r>
      <w:r>
        <w:rPr>
          <w:rFonts w:ascii="宋体" w:hAnsi="宋体"/>
          <w:kern w:val="0"/>
        </w:rPr>
        <w:t>次年1月15日前。</w:t>
      </w:r>
    </w:p>
    <w:p>
      <w:pPr>
        <w:spacing w:line="400" w:lineRule="exact"/>
        <w:ind w:firstLine="420" w:firstLineChars="200"/>
        <w:rPr>
          <w:rFonts w:ascii="宋体" w:hAnsi="宋体"/>
          <w:kern w:val="0"/>
        </w:rPr>
      </w:pPr>
      <w:r>
        <w:rPr>
          <w:rFonts w:ascii="宋体" w:hAnsi="宋体"/>
          <w:kern w:val="0"/>
        </w:rPr>
        <w:t>2.</w:t>
      </w:r>
      <w:r>
        <w:rPr>
          <w:rFonts w:hint="eastAsia" w:ascii="宋体" w:hAnsi="宋体"/>
          <w:kern w:val="0"/>
        </w:rPr>
        <w:t>报送方式，</w:t>
      </w:r>
      <w:bookmarkStart w:id="2" w:name="_Hlk74235924"/>
      <w:r>
        <w:rPr>
          <w:rFonts w:hint="eastAsia" w:ascii="宋体" w:hAnsi="宋体"/>
          <w:kern w:val="0"/>
        </w:rPr>
        <w:t>通过教育统计管理信息系统</w:t>
      </w:r>
      <w:bookmarkEnd w:id="2"/>
      <w:r>
        <w:rPr>
          <w:rFonts w:hint="eastAsia" w:ascii="宋体" w:hAnsi="宋体"/>
          <w:kern w:val="0"/>
        </w:rPr>
        <w:t>（</w:t>
      </w:r>
      <w:r>
        <w:rPr>
          <w:rFonts w:ascii="宋体" w:hAnsi="宋体"/>
          <w:kern w:val="0"/>
        </w:rPr>
        <w:t>https://www.tjxt.moe.edu.cn:8000</w:t>
      </w:r>
      <w:r>
        <w:rPr>
          <w:rFonts w:hint="eastAsia" w:ascii="宋体" w:hAnsi="宋体"/>
          <w:kern w:val="0"/>
        </w:rPr>
        <w:t>）网上报送、审核数据。</w:t>
      </w:r>
    </w:p>
    <w:bookmarkEnd w:id="1"/>
    <w:p>
      <w:pPr>
        <w:spacing w:line="400" w:lineRule="exact"/>
        <w:ind w:firstLine="420" w:firstLineChars="200"/>
        <w:rPr>
          <w:rFonts w:ascii="宋体" w:hAnsi="宋体"/>
          <w:kern w:val="0"/>
        </w:rPr>
      </w:pPr>
      <w:r>
        <w:rPr>
          <w:rFonts w:ascii="宋体" w:hAnsi="宋体"/>
          <w:kern w:val="0"/>
        </w:rPr>
        <w:t>3.</w:t>
      </w:r>
      <w:r>
        <w:rPr>
          <w:rFonts w:hint="eastAsia" w:ascii="宋体" w:hAnsi="宋体"/>
          <w:kern w:val="0"/>
        </w:rPr>
        <w:t>填报时，遵循“主体校统计原则”，严格执行《统计法》《教育统计管理规定》各项条款，按照本调查制度的指标解释和填报说明准确填报。任何单位和个人不得虚报、瞒报、拒报、迟报。</w:t>
      </w:r>
    </w:p>
    <w:p>
      <w:pPr>
        <w:spacing w:line="400" w:lineRule="exact"/>
        <w:ind w:firstLine="420" w:firstLineChars="200"/>
        <w:rPr>
          <w:rFonts w:ascii="宋体" w:hAnsi="宋体"/>
          <w:kern w:val="0"/>
        </w:rPr>
      </w:pPr>
      <w:r>
        <w:rPr>
          <w:rFonts w:ascii="宋体" w:hAnsi="宋体"/>
          <w:kern w:val="0"/>
        </w:rPr>
        <w:t>4.</w:t>
      </w:r>
      <w:bookmarkStart w:id="3" w:name="_Hlk74236703"/>
      <w:r>
        <w:rPr>
          <w:rFonts w:hint="eastAsia"/>
        </w:rPr>
        <w:t>《各级各类学校基本建设完成情况表》</w:t>
      </w:r>
      <w:bookmarkEnd w:id="3"/>
      <w:r>
        <w:rPr>
          <w:rFonts w:hint="eastAsia" w:ascii="宋体" w:hAnsi="宋体"/>
          <w:kern w:val="0"/>
        </w:rPr>
        <w:t>资金类型的数据保留一位小数；面积类型的数据保留整数。</w:t>
      </w:r>
    </w:p>
    <w:p>
      <w:pPr>
        <w:spacing w:line="400" w:lineRule="exact"/>
        <w:ind w:firstLine="420" w:firstLineChars="200"/>
        <w:rPr>
          <w:rFonts w:ascii="宋体" w:hAnsi="宋体"/>
          <w:kern w:val="0"/>
        </w:rPr>
      </w:pPr>
      <w:r>
        <w:rPr>
          <w:rFonts w:hint="eastAsia" w:ascii="宋体" w:hAnsi="宋体"/>
          <w:kern w:val="0"/>
        </w:rPr>
        <w:t>（八）质量控制</w:t>
      </w:r>
    </w:p>
    <w:p>
      <w:pPr>
        <w:widowControl/>
        <w:spacing w:line="375" w:lineRule="atLeast"/>
        <w:ind w:firstLine="420" w:firstLineChars="200"/>
        <w:jc w:val="left"/>
        <w:rPr>
          <w:rFonts w:ascii="宋体" w:hAnsi="宋体"/>
          <w:kern w:val="0"/>
        </w:rPr>
      </w:pPr>
      <w:r>
        <w:rPr>
          <w:rFonts w:hint="eastAsia" w:ascii="宋体" w:hAnsi="宋体"/>
          <w:kern w:val="0"/>
        </w:rPr>
        <w:t>本</w:t>
      </w:r>
      <w:r>
        <w:rPr>
          <w:rFonts w:hint="eastAsia"/>
          <w:kern w:val="0"/>
        </w:rPr>
        <w:t>调查</w:t>
      </w:r>
      <w:r>
        <w:rPr>
          <w:rFonts w:ascii="宋体" w:hAnsi="宋体"/>
          <w:kern w:val="0"/>
        </w:rPr>
        <w:t>制度</w:t>
      </w:r>
      <w:bookmarkStart w:id="4" w:name="_Hlk79739153"/>
      <w:r>
        <w:rPr>
          <w:rFonts w:hint="eastAsia" w:ascii="宋体" w:hAnsi="宋体"/>
          <w:kern w:val="0"/>
        </w:rPr>
        <w:t>按照《国家统计质量保证框架（</w:t>
      </w:r>
      <w:r>
        <w:rPr>
          <w:rFonts w:ascii="宋体" w:hAnsi="宋体"/>
          <w:kern w:val="0"/>
        </w:rPr>
        <w:t>2021</w:t>
      </w:r>
      <w:r>
        <w:rPr>
          <w:rFonts w:hint="eastAsia" w:ascii="宋体" w:hAnsi="宋体"/>
          <w:kern w:val="0"/>
        </w:rPr>
        <w:t>）》有关要求，结合教育事业统计工作实际，对统计业务流程的各环节进行质量管理和控制。</w:t>
      </w:r>
    </w:p>
    <w:bookmarkEnd w:id="4"/>
    <w:p>
      <w:pPr>
        <w:widowControl/>
        <w:spacing w:line="375" w:lineRule="atLeast"/>
        <w:ind w:firstLine="420" w:firstLineChars="200"/>
        <w:jc w:val="left"/>
        <w:rPr>
          <w:rFonts w:ascii="宋体" w:hAnsi="宋体"/>
          <w:kern w:val="0"/>
        </w:rPr>
      </w:pPr>
      <w:r>
        <w:rPr>
          <w:rFonts w:ascii="宋体" w:hAnsi="宋体"/>
          <w:kern w:val="0"/>
        </w:rPr>
        <w:t>1.</w:t>
      </w:r>
      <w:r>
        <w:rPr>
          <w:rFonts w:hint="eastAsia" w:ascii="宋体" w:hAnsi="宋体"/>
          <w:kern w:val="0"/>
        </w:rPr>
        <w:t>任务部署环节</w:t>
      </w:r>
    </w:p>
    <w:p>
      <w:pPr>
        <w:widowControl/>
        <w:spacing w:line="375" w:lineRule="atLeast"/>
        <w:ind w:firstLine="420" w:firstLineChars="200"/>
        <w:jc w:val="left"/>
        <w:rPr>
          <w:rFonts w:ascii="宋体" w:hAnsi="宋体"/>
          <w:kern w:val="0"/>
        </w:rPr>
      </w:pPr>
      <w:r>
        <w:rPr>
          <w:rFonts w:ascii="宋体" w:hAnsi="宋体"/>
          <w:kern w:val="0"/>
        </w:rPr>
        <w:t>1）印发统计调查工作文件</w:t>
      </w:r>
    </w:p>
    <w:p>
      <w:pPr>
        <w:widowControl/>
        <w:spacing w:line="375" w:lineRule="atLeast"/>
        <w:ind w:firstLine="420" w:firstLineChars="200"/>
        <w:jc w:val="left"/>
        <w:rPr>
          <w:rFonts w:ascii="宋体" w:hAnsi="宋体"/>
          <w:kern w:val="0"/>
        </w:rPr>
      </w:pPr>
      <w:r>
        <w:rPr>
          <w:rFonts w:hint="eastAsia" w:ascii="宋体" w:hAnsi="宋体"/>
          <w:kern w:val="0"/>
        </w:rPr>
        <w:t>地方各级教育行政部门按照教育部统一部署，及时印发或转发开展统计调查工作的通知，落实统计调查保障条件。</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）确定统计调查对象</w:t>
      </w:r>
    </w:p>
    <w:p>
      <w:pPr>
        <w:widowControl/>
        <w:spacing w:line="375" w:lineRule="atLeast"/>
        <w:ind w:firstLine="420" w:firstLineChars="200"/>
        <w:jc w:val="left"/>
        <w:rPr>
          <w:rFonts w:ascii="宋体" w:hAnsi="宋体"/>
          <w:kern w:val="0"/>
        </w:rPr>
      </w:pPr>
      <w:r>
        <w:rPr>
          <w:rFonts w:hint="eastAsia" w:ascii="宋体" w:hAnsi="宋体"/>
          <w:kern w:val="0"/>
        </w:rPr>
        <w:t>各级教育行政部门要按照《学校（机构）代码管理办法》有关要求，及时更新和维护学校（机构）代码，并以此确定统计调查对象。</w:t>
      </w:r>
    </w:p>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）组织开展人员培训</w:t>
      </w:r>
    </w:p>
    <w:p>
      <w:pPr>
        <w:widowControl/>
        <w:spacing w:line="375" w:lineRule="atLeast"/>
        <w:ind w:firstLine="420" w:firstLineChars="200"/>
        <w:rPr>
          <w:rFonts w:ascii="宋体" w:hAnsi="宋体"/>
          <w:kern w:val="0"/>
        </w:rPr>
      </w:pPr>
      <w:r>
        <w:rPr>
          <w:rFonts w:hint="eastAsia" w:ascii="宋体" w:hAnsi="宋体"/>
          <w:kern w:val="0"/>
        </w:rPr>
        <w:t>各级教育行政部门根据实际情况采用会议、集中、网络、视频等线上线下方式开展统计培训，培训内容应全面系统、有针对性，保证基层统计人员能够准确理解调查制度，熟练操作软件和硬件设备。</w:t>
      </w:r>
    </w:p>
    <w:p>
      <w:pPr>
        <w:widowControl/>
        <w:spacing w:line="375" w:lineRule="atLeast"/>
        <w:ind w:firstLine="420" w:firstLineChars="200"/>
        <w:jc w:val="left"/>
        <w:rPr>
          <w:rFonts w:ascii="宋体" w:hAnsi="宋体"/>
          <w:kern w:val="0"/>
        </w:rPr>
      </w:pPr>
      <w:r>
        <w:rPr>
          <w:rFonts w:ascii="宋体" w:hAnsi="宋体"/>
          <w:kern w:val="0"/>
        </w:rPr>
        <w:t>2.</w:t>
      </w:r>
      <w:r>
        <w:rPr>
          <w:rFonts w:hint="eastAsia" w:ascii="宋体" w:hAnsi="宋体"/>
          <w:kern w:val="0"/>
        </w:rPr>
        <w:t>数据采集环节</w:t>
      </w:r>
    </w:p>
    <w:p>
      <w:pPr>
        <w:widowControl/>
        <w:spacing w:line="375" w:lineRule="atLeast"/>
        <w:ind w:firstLine="420" w:firstLineChars="200"/>
        <w:jc w:val="left"/>
        <w:rPr>
          <w:rFonts w:ascii="宋体" w:hAnsi="宋体"/>
          <w:kern w:val="0"/>
        </w:rPr>
      </w:pPr>
      <w:r>
        <w:rPr>
          <w:rFonts w:ascii="宋体" w:hAnsi="宋体"/>
          <w:kern w:val="0"/>
        </w:rPr>
        <w:t>1）做好</w:t>
      </w:r>
      <w:r>
        <w:rPr>
          <w:rFonts w:hint="eastAsia" w:ascii="宋体" w:hAnsi="宋体"/>
          <w:kern w:val="0"/>
        </w:rPr>
        <w:t>统计人员</w:t>
      </w:r>
      <w:r>
        <w:rPr>
          <w:rFonts w:ascii="宋体" w:hAnsi="宋体"/>
          <w:kern w:val="0"/>
        </w:rPr>
        <w:t>身份认证</w:t>
      </w:r>
    </w:p>
    <w:p>
      <w:pPr>
        <w:widowControl/>
        <w:spacing w:line="375" w:lineRule="atLeast"/>
        <w:ind w:firstLine="420" w:firstLineChars="200"/>
      </w:pPr>
      <w:r>
        <w:rPr>
          <w:rFonts w:hint="eastAsia" w:ascii="宋体" w:hAnsi="宋体"/>
          <w:kern w:val="0"/>
        </w:rPr>
        <w:t>数据填报前，需通过</w:t>
      </w:r>
      <w:bookmarkStart w:id="5" w:name="_Hlk74239817"/>
      <w:r>
        <w:rPr>
          <w:rFonts w:hint="eastAsia" w:ascii="宋体" w:hAnsi="宋体"/>
          <w:kern w:val="0"/>
        </w:rPr>
        <w:t>教育统计管理信息系统</w:t>
      </w:r>
      <w:bookmarkEnd w:id="5"/>
      <w:r>
        <w:rPr>
          <w:rFonts w:hint="eastAsia" w:ascii="宋体" w:hAnsi="宋体"/>
          <w:kern w:val="0"/>
        </w:rPr>
        <w:t>提交填表人、统计负责人和单位负责人姓名、联系电话、职务等信息。</w:t>
      </w:r>
    </w:p>
    <w:p>
      <w:pPr>
        <w:widowControl/>
        <w:spacing w:line="375" w:lineRule="atLeast"/>
        <w:ind w:firstLine="420" w:firstLineChars="200"/>
      </w:pPr>
      <w:r>
        <w:rPr>
          <w:rFonts w:hint="eastAsia"/>
        </w:rPr>
        <w:t>各级教育行政部门</w:t>
      </w:r>
      <w:bookmarkStart w:id="6" w:name="_Hlk78880122"/>
      <w:r>
        <w:rPr>
          <w:rFonts w:hint="eastAsia"/>
        </w:rPr>
        <w:t>、学校（机构）填表人为具体承担教育统计任务的机构工作人员，如XX处副处长或干部；统计负责人为具体承担教育统计任务的机构处室领导，如XX处处长；单位负责人为部门主要负责人，如XX厅厅长或XX学校校长。</w:t>
      </w:r>
    </w:p>
    <w:bookmarkEnd w:id="6"/>
    <w:p>
      <w:pPr>
        <w:widowControl/>
        <w:spacing w:line="375" w:lineRule="atLeast"/>
        <w:ind w:firstLine="420" w:firstLineChars="200"/>
      </w:pPr>
      <w:r>
        <w:rPr>
          <w:rFonts w:hint="eastAsia"/>
        </w:rPr>
        <w:t>教育行政部门具体承担教育统计任务的机构可以根据不同调查表设立不同的填表人和统计负责人。如，《各级各类学校基本建设完成情况表》的填表人和统计负责人应为基建管理部门人员。</w:t>
      </w:r>
    </w:p>
    <w:p>
      <w:pPr>
        <w:widowControl/>
        <w:spacing w:line="375" w:lineRule="atLeast"/>
        <w:ind w:firstLine="420" w:firstLineChars="200"/>
        <w:jc w:val="left"/>
        <w:rPr>
          <w:rFonts w:ascii="宋体" w:hAnsi="宋体"/>
          <w:kern w:val="0"/>
        </w:rPr>
      </w:pPr>
      <w:r>
        <w:rPr>
          <w:rFonts w:ascii="宋体" w:hAnsi="宋体"/>
          <w:kern w:val="0"/>
        </w:rPr>
        <w:t>2）明确</w:t>
      </w:r>
      <w:r>
        <w:rPr>
          <w:rFonts w:hint="eastAsia" w:ascii="宋体" w:hAnsi="宋体"/>
          <w:kern w:val="0"/>
        </w:rPr>
        <w:t>职责权限</w:t>
      </w:r>
    </w:p>
    <w:p>
      <w:pPr>
        <w:widowControl/>
        <w:spacing w:line="375" w:lineRule="atLeast"/>
        <w:ind w:firstLine="420" w:firstLineChars="200"/>
        <w:rPr>
          <w:rFonts w:ascii="宋体" w:hAnsi="宋体"/>
          <w:kern w:val="0"/>
        </w:rPr>
      </w:pPr>
      <w:r>
        <w:rPr>
          <w:rFonts w:hint="eastAsia" w:ascii="宋体" w:hAnsi="宋体"/>
          <w:kern w:val="0"/>
        </w:rPr>
        <w:t>根据《关于防范和惩治教育统计造假弄虚作假责任制规定（试行）》有关规定，填表人有填写和审核数据权限，对其所负责采集、录入、汇总的统计资料与统计调查对象报送的统计资料的一致性负责；统计负责人有开通其他部门协助审核、更改填表人、提交数据等权限，对数据真实性负主体责任；单位负责人有审核和提交数据权限，对数据真实性负主要领导责任。县级以上教育行政部门有发现疑似问题并退回核实权限。</w:t>
      </w:r>
    </w:p>
    <w:p>
      <w:pPr>
        <w:widowControl/>
        <w:spacing w:line="375" w:lineRule="atLeast"/>
        <w:ind w:firstLine="420" w:firstLineChars="200"/>
        <w:rPr>
          <w:rFonts w:ascii="宋体" w:hAnsi="宋体"/>
          <w:kern w:val="0"/>
        </w:rPr>
      </w:pPr>
      <w:bookmarkStart w:id="7" w:name="_Hlk78879948"/>
      <w:r>
        <w:rPr>
          <w:rFonts w:ascii="宋体" w:hAnsi="宋体"/>
          <w:kern w:val="0"/>
        </w:rPr>
        <w:t>3</w:t>
      </w:r>
      <w:r>
        <w:rPr>
          <w:rFonts w:hint="eastAsia" w:ascii="宋体" w:hAnsi="宋体"/>
          <w:kern w:val="0"/>
        </w:rPr>
        <w:t>）填报单位工作部署</w:t>
      </w:r>
    </w:p>
    <w:p>
      <w:pPr>
        <w:widowControl/>
        <w:spacing w:line="375" w:lineRule="atLeast"/>
        <w:ind w:firstLine="420" w:firstLineChars="200"/>
        <w:rPr>
          <w:rFonts w:ascii="宋体" w:hAnsi="宋体"/>
          <w:kern w:val="0"/>
        </w:rPr>
      </w:pPr>
      <w:r>
        <w:rPr>
          <w:rFonts w:hint="eastAsia" w:ascii="宋体" w:hAnsi="宋体"/>
          <w:kern w:val="0"/>
        </w:rPr>
        <w:t>按照各级教育行政部门统一部署，学校应成立统计工作领导小组，明确具体承担教育统计任务的机构，根据调查表分解工作任务，确定提供行政记录或统计台账的业务部门。</w:t>
      </w:r>
    </w:p>
    <w:p>
      <w:pPr>
        <w:widowControl/>
        <w:spacing w:line="375" w:lineRule="atLeast"/>
        <w:ind w:firstLine="420" w:firstLineChars="200"/>
        <w:rPr>
          <w:rFonts w:ascii="宋体" w:hAnsi="宋体"/>
          <w:kern w:val="0"/>
        </w:rPr>
      </w:pPr>
      <w:r>
        <w:rPr>
          <w:rFonts w:ascii="宋体" w:hAnsi="宋体"/>
          <w:kern w:val="0"/>
        </w:rPr>
        <w:t>4</w:t>
      </w:r>
      <w:r>
        <w:rPr>
          <w:rFonts w:hint="eastAsia" w:ascii="宋体" w:hAnsi="宋体"/>
          <w:kern w:val="0"/>
        </w:rPr>
        <w:t>）填报单位审核原始数据</w:t>
      </w:r>
    </w:p>
    <w:p>
      <w:pPr>
        <w:widowControl/>
        <w:spacing w:line="375" w:lineRule="atLeast"/>
        <w:ind w:firstLine="420" w:firstLineChars="200"/>
        <w:rPr>
          <w:rFonts w:ascii="宋体" w:hAnsi="宋体"/>
          <w:kern w:val="0"/>
        </w:rPr>
      </w:pPr>
      <w:r>
        <w:rPr>
          <w:rFonts w:hint="eastAsia" w:ascii="宋体" w:hAnsi="宋体"/>
          <w:kern w:val="0"/>
        </w:rPr>
        <w:t>学校具体承担教育统计任务的机构应按照随报随审的原则，及时接收各业务部门的行政记录或统计台账，对数据完整性、逻辑性等进行审核，经核实确属业务部门填报错误的，应及时退回要求业务部门修改后重新上报，并保留修改记录和相关说明。</w:t>
      </w:r>
    </w:p>
    <w:p>
      <w:pPr>
        <w:widowControl/>
        <w:spacing w:line="375" w:lineRule="atLeast"/>
        <w:ind w:firstLine="420" w:firstLineChars="200"/>
        <w:jc w:val="left"/>
        <w:rPr>
          <w:rFonts w:ascii="宋体" w:hAnsi="宋体"/>
          <w:kern w:val="0"/>
        </w:rPr>
      </w:pPr>
      <w:r>
        <w:rPr>
          <w:rFonts w:ascii="宋体" w:hAnsi="宋体"/>
          <w:kern w:val="0"/>
        </w:rPr>
        <w:t>5）</w:t>
      </w:r>
      <w:r>
        <w:rPr>
          <w:rFonts w:hint="eastAsia" w:ascii="宋体" w:hAnsi="宋体"/>
          <w:kern w:val="0"/>
        </w:rPr>
        <w:t>填报单位数据上报</w:t>
      </w:r>
    </w:p>
    <w:p>
      <w:pPr>
        <w:widowControl/>
        <w:spacing w:line="375" w:lineRule="atLeast"/>
        <w:ind w:firstLine="420" w:firstLineChars="200"/>
        <w:jc w:val="left"/>
        <w:rPr>
          <w:rFonts w:ascii="宋体" w:hAnsi="宋体"/>
          <w:kern w:val="0"/>
        </w:rPr>
      </w:pPr>
      <w:r>
        <w:rPr>
          <w:rFonts w:hint="eastAsia" w:ascii="宋体" w:hAnsi="宋体"/>
          <w:kern w:val="0"/>
        </w:rPr>
        <w:t>学校</w:t>
      </w:r>
      <w:bookmarkStart w:id="8" w:name="_Hlk76992503"/>
      <w:r>
        <w:rPr>
          <w:rFonts w:hint="eastAsia" w:ascii="宋体" w:hAnsi="宋体"/>
          <w:kern w:val="0"/>
        </w:rPr>
        <w:t>上报数据应按照会议制度集体讨论决定，并留存相应会议纪要，最终经单位负责人签字确认</w:t>
      </w:r>
      <w:bookmarkEnd w:id="8"/>
      <w:r>
        <w:rPr>
          <w:rFonts w:hint="eastAsia" w:ascii="宋体" w:hAnsi="宋体"/>
          <w:kern w:val="0"/>
        </w:rPr>
        <w:t>。数据上报后，若需修改，需录入修改理由，经上级单位审核通过后学校方可进行数据修正。审核过程、修改理由、修改内容及下级单位对核实情况的答复均记录在系统中。</w:t>
      </w:r>
    </w:p>
    <w:bookmarkEnd w:id="7"/>
    <w:p>
      <w:pPr>
        <w:widowControl/>
        <w:spacing w:line="375" w:lineRule="atLeast"/>
        <w:ind w:firstLine="420" w:firstLineChars="200"/>
        <w:jc w:val="left"/>
        <w:rPr>
          <w:rFonts w:ascii="宋体" w:hAnsi="宋体"/>
          <w:kern w:val="0"/>
        </w:rPr>
      </w:pPr>
      <w:r>
        <w:rPr>
          <w:rFonts w:ascii="宋体" w:hAnsi="宋体"/>
          <w:kern w:val="0"/>
        </w:rPr>
        <w:t>3.</w:t>
      </w:r>
      <w:r>
        <w:rPr>
          <w:rFonts w:hint="eastAsia" w:ascii="宋体" w:hAnsi="宋体"/>
          <w:kern w:val="0"/>
        </w:rPr>
        <w:t>数据审核汇总环节</w:t>
      </w:r>
    </w:p>
    <w:p>
      <w:pPr>
        <w:widowControl/>
        <w:spacing w:line="375" w:lineRule="atLeast"/>
        <w:ind w:firstLine="420" w:firstLineChars="200"/>
        <w:jc w:val="left"/>
        <w:rPr>
          <w:rFonts w:ascii="宋体" w:hAnsi="宋体"/>
          <w:kern w:val="0"/>
        </w:rPr>
      </w:pPr>
      <w:r>
        <w:rPr>
          <w:rFonts w:ascii="宋体" w:hAnsi="宋体"/>
          <w:kern w:val="0"/>
        </w:rPr>
        <w:t>1）审核接收数据</w:t>
      </w:r>
    </w:p>
    <w:p>
      <w:pPr>
        <w:widowControl/>
        <w:spacing w:line="375" w:lineRule="atLeast"/>
        <w:ind w:firstLine="420" w:firstLineChars="200"/>
        <w:jc w:val="left"/>
        <w:rPr>
          <w:rFonts w:ascii="宋体" w:hAnsi="宋体"/>
          <w:kern w:val="0"/>
        </w:rPr>
      </w:pPr>
      <w:r>
        <w:rPr>
          <w:rFonts w:hint="eastAsia" w:ascii="宋体" w:hAnsi="宋体"/>
          <w:kern w:val="0"/>
        </w:rPr>
        <w:t>各级教育行政部门逐级开展集中审核汇总工作。在确保数据安全的工作环境下，应使用统一的教育统计管理信息系统接收学校上报数据，汇总后对结果进行计算机审核，保证完整性、逻辑性、准确性。同时进行人工审核，综合运用历史数据比较、横向数据比较、数据偏差分析、相关性分析等多种方法对上报数据进行审核，保证数据协调匹配、趋势合理。</w:t>
      </w:r>
    </w:p>
    <w:p>
      <w:pPr>
        <w:widowControl/>
        <w:spacing w:line="375" w:lineRule="atLeast"/>
        <w:ind w:firstLine="420" w:firstLineChars="200"/>
        <w:jc w:val="left"/>
        <w:rPr>
          <w:rFonts w:ascii="宋体" w:hAnsi="宋体"/>
          <w:kern w:val="0"/>
        </w:rPr>
      </w:pPr>
      <w:r>
        <w:rPr>
          <w:rFonts w:hint="eastAsia" w:ascii="宋体" w:hAnsi="宋体"/>
          <w:kern w:val="0"/>
        </w:rPr>
        <w:t>各级教育行政部门需在教育统计管理信息系统中提交集中审核汇总时间安排。汇总后数据应按照会议制度集体讨论决定，并留存相应会议纪要，最终经单位负责人签字确认后上报上级教育行政部门。</w:t>
      </w:r>
    </w:p>
    <w:p>
      <w:pPr>
        <w:widowControl/>
        <w:spacing w:line="375" w:lineRule="atLeast"/>
        <w:ind w:firstLine="420" w:firstLineChars="200"/>
        <w:jc w:val="left"/>
        <w:rPr>
          <w:rFonts w:ascii="宋体" w:hAnsi="宋体"/>
          <w:kern w:val="0"/>
        </w:rPr>
      </w:pPr>
      <w:r>
        <w:rPr>
          <w:rFonts w:ascii="宋体" w:hAnsi="宋体"/>
          <w:kern w:val="0"/>
        </w:rPr>
        <w:t>2）反馈</w:t>
      </w:r>
      <w:r>
        <w:rPr>
          <w:rFonts w:hint="eastAsia" w:ascii="宋体" w:hAnsi="宋体"/>
          <w:kern w:val="0"/>
        </w:rPr>
        <w:t>疑似</w:t>
      </w:r>
      <w:r>
        <w:rPr>
          <w:rFonts w:ascii="宋体" w:hAnsi="宋体"/>
          <w:kern w:val="0"/>
        </w:rPr>
        <w:t>问题</w:t>
      </w:r>
    </w:p>
    <w:p>
      <w:pPr>
        <w:widowControl/>
        <w:spacing w:line="375" w:lineRule="atLeast"/>
        <w:ind w:firstLine="420" w:firstLineChars="200"/>
        <w:jc w:val="left"/>
        <w:rPr>
          <w:rFonts w:ascii="宋体" w:hAnsi="宋体"/>
          <w:kern w:val="0"/>
        </w:rPr>
      </w:pPr>
      <w:r>
        <w:rPr>
          <w:rFonts w:hint="eastAsia" w:ascii="宋体" w:hAnsi="宋体"/>
          <w:kern w:val="0"/>
        </w:rPr>
        <w:t>各级教育行政部门应在规定时间内查明数据的疑似问题，经核实确属学校填报错误的，应及时通知下级教育行政部门退回学校核实修正。相关过程均在系统中保留修改痕迹。</w:t>
      </w:r>
    </w:p>
    <w:p>
      <w:pPr>
        <w:widowControl/>
        <w:spacing w:line="375" w:lineRule="atLeast"/>
        <w:ind w:firstLine="420" w:firstLineChars="200"/>
        <w:jc w:val="left"/>
        <w:rPr>
          <w:rFonts w:ascii="宋体" w:hAnsi="宋体"/>
          <w:kern w:val="0"/>
        </w:rPr>
      </w:pPr>
      <w:r>
        <w:rPr>
          <w:rFonts w:ascii="宋体" w:hAnsi="宋体"/>
          <w:kern w:val="0"/>
        </w:rPr>
        <w:t>3）按时完成任务</w:t>
      </w:r>
    </w:p>
    <w:p>
      <w:pPr>
        <w:widowControl/>
        <w:spacing w:line="375" w:lineRule="atLeast"/>
        <w:ind w:firstLine="420" w:firstLineChars="200"/>
        <w:jc w:val="left"/>
        <w:rPr>
          <w:rFonts w:ascii="宋体" w:hAnsi="宋体"/>
          <w:kern w:val="0"/>
        </w:rPr>
      </w:pPr>
      <w:r>
        <w:rPr>
          <w:rFonts w:hint="eastAsia" w:ascii="宋体" w:hAnsi="宋体"/>
          <w:kern w:val="0"/>
        </w:rPr>
        <w:t>各级教育行政部门和学校要配备充足的力量进行数据采集、审核、汇总，制定切实可行的进度表，强化对统计工作每一个环节的时间管理，保证统计数据的时效性。</w:t>
      </w:r>
    </w:p>
    <w:p>
      <w:pPr>
        <w:widowControl/>
        <w:spacing w:line="375" w:lineRule="atLeast"/>
        <w:ind w:firstLine="420" w:firstLineChars="200"/>
        <w:jc w:val="left"/>
        <w:rPr>
          <w:rFonts w:ascii="宋体" w:hAnsi="宋体"/>
          <w:kern w:val="0"/>
        </w:rPr>
      </w:pPr>
      <w:bookmarkStart w:id="9" w:name="_Hlk78880001"/>
      <w:r>
        <w:rPr>
          <w:rFonts w:ascii="宋体" w:hAnsi="宋体"/>
          <w:kern w:val="0"/>
        </w:rPr>
        <w:t>4.</w:t>
      </w:r>
      <w:r>
        <w:rPr>
          <w:rFonts w:hint="eastAsia" w:ascii="宋体" w:hAnsi="宋体"/>
          <w:kern w:val="0"/>
        </w:rPr>
        <w:t>统计资料归档</w:t>
      </w:r>
    </w:p>
    <w:p>
      <w:pPr>
        <w:widowControl/>
        <w:spacing w:line="375" w:lineRule="atLeast"/>
        <w:ind w:firstLine="420" w:firstLineChars="200"/>
        <w:rPr>
          <w:rFonts w:ascii="宋体" w:hAnsi="宋体"/>
          <w:kern w:val="0"/>
        </w:rPr>
      </w:pPr>
      <w:r>
        <w:rPr>
          <w:rFonts w:hint="eastAsia" w:ascii="宋体" w:hAnsi="宋体"/>
          <w:kern w:val="0"/>
        </w:rPr>
        <w:t>公开使用数据以教育部集中审核汇总后下发数据为准。学校和各级教育行政部门根据教育部下发数据，做好归档及灾备工作。</w:t>
      </w:r>
    </w:p>
    <w:p>
      <w:pPr>
        <w:widowControl/>
        <w:spacing w:line="375" w:lineRule="atLeast"/>
        <w:ind w:firstLine="420" w:firstLineChars="200"/>
        <w:rPr>
          <w:rFonts w:ascii="宋体" w:hAnsi="宋体"/>
          <w:kern w:val="0"/>
        </w:rPr>
      </w:pPr>
      <w:r>
        <w:rPr>
          <w:rFonts w:hint="eastAsia" w:ascii="宋体" w:hAnsi="宋体"/>
          <w:kern w:val="0"/>
        </w:rPr>
        <w:t>教育部保存全国及分省综表数据。其中，电子数据资料、纸质全国综表保存期为永久，省级教育行政部门经单位负责人签字的纸质综表在教育部保存2年。</w:t>
      </w:r>
    </w:p>
    <w:p>
      <w:pPr>
        <w:widowControl/>
        <w:spacing w:line="375" w:lineRule="atLeast"/>
        <w:ind w:firstLine="420" w:firstLineChars="200"/>
        <w:rPr>
          <w:rFonts w:ascii="宋体" w:hAnsi="宋体"/>
          <w:kern w:val="0"/>
        </w:rPr>
      </w:pPr>
      <w:r>
        <w:rPr>
          <w:rFonts w:hint="eastAsia" w:ascii="宋体" w:hAnsi="宋体"/>
          <w:kern w:val="0"/>
        </w:rPr>
        <w:t>各级教育行政部门应比照教育部保存相应统计资料，其中，学校上报的纸质统计调查表应当至少保存5</w:t>
      </w:r>
      <w:r>
        <w:rPr>
          <w:rFonts w:ascii="宋体" w:hAnsi="宋体"/>
          <w:kern w:val="0"/>
        </w:rPr>
        <w:t>年。</w:t>
      </w:r>
    </w:p>
    <w:p>
      <w:pPr>
        <w:widowControl/>
        <w:spacing w:line="375" w:lineRule="atLeast"/>
        <w:ind w:firstLine="420" w:firstLineChars="200"/>
        <w:rPr>
          <w:rFonts w:ascii="宋体" w:hAnsi="宋体"/>
          <w:kern w:val="0"/>
        </w:rPr>
      </w:pPr>
      <w:r>
        <w:rPr>
          <w:rFonts w:hint="eastAsia" w:ascii="宋体" w:hAnsi="宋体"/>
          <w:kern w:val="0"/>
        </w:rPr>
        <w:t>学校电子数据资料和纸质统计调查表应永久保存，原始记录和统计台账应至少保存</w:t>
      </w:r>
      <w:r>
        <w:rPr>
          <w:rFonts w:ascii="宋体" w:hAnsi="宋体"/>
          <w:kern w:val="0"/>
        </w:rPr>
        <w:t>5</w:t>
      </w:r>
      <w:r>
        <w:rPr>
          <w:rFonts w:hint="eastAsia" w:ascii="宋体" w:hAnsi="宋体"/>
          <w:kern w:val="0"/>
        </w:rPr>
        <w:t>年。</w:t>
      </w:r>
    </w:p>
    <w:bookmarkEnd w:id="9"/>
    <w:p>
      <w:pPr>
        <w:widowControl/>
        <w:spacing w:line="375" w:lineRule="atLeast"/>
        <w:ind w:firstLine="420" w:firstLineChars="200"/>
      </w:pPr>
      <w:r>
        <w:rPr>
          <w:rFonts w:hint="eastAsia"/>
        </w:rPr>
        <w:t>（九）统计资料公布的时间、渠道</w:t>
      </w:r>
    </w:p>
    <w:p>
      <w:pPr>
        <w:spacing w:line="400" w:lineRule="exact"/>
        <w:ind w:firstLine="420" w:firstLineChars="200"/>
      </w:pPr>
      <w:r>
        <w:rPr>
          <w:rFonts w:hint="eastAsia"/>
        </w:rPr>
        <w:t>每年上半年对社会公开发布教育事业统计公报，下半年公开出版《中国教育事业统计年鉴》以及年度教育事业发展进展报告等。</w:t>
      </w:r>
    </w:p>
    <w:p>
      <w:pPr>
        <w:spacing w:line="400" w:lineRule="exact"/>
        <w:ind w:firstLine="420" w:firstLineChars="200"/>
      </w:pPr>
      <w:r>
        <w:rPr>
          <w:rFonts w:hint="eastAsia"/>
        </w:rPr>
        <w:t>（十）统计信息共享的内容、方式、时限、渠道、责任单位和责任人</w:t>
      </w:r>
    </w:p>
    <w:p>
      <w:pPr>
        <w:widowControl/>
        <w:spacing w:line="375" w:lineRule="atLeast"/>
        <w:ind w:firstLine="420" w:firstLineChars="200"/>
        <w:jc w:val="left"/>
      </w:pPr>
      <w:r>
        <w:rPr>
          <w:rFonts w:hint="eastAsia"/>
        </w:rPr>
        <w:t>不定期共享各种统计资料，如：教育统计快讯、教育统计简明分析、教育统计摘要、各类专题分析报告等。综合统计数据按照相关协议无条件共享。</w:t>
      </w:r>
    </w:p>
    <w:p>
      <w:pPr>
        <w:widowControl/>
        <w:spacing w:line="375" w:lineRule="atLeast"/>
        <w:ind w:firstLine="420" w:firstLineChars="200"/>
        <w:jc w:val="left"/>
      </w:pPr>
      <w:r>
        <w:rPr>
          <w:rFonts w:hint="eastAsia"/>
        </w:rPr>
        <w:t>责任单位：教育部发展规划司</w:t>
      </w:r>
    </w:p>
    <w:p>
      <w:pPr>
        <w:widowControl/>
        <w:spacing w:line="375" w:lineRule="atLeast"/>
        <w:ind w:firstLine="420" w:firstLineChars="200"/>
        <w:jc w:val="left"/>
      </w:pPr>
      <w:r>
        <w:rPr>
          <w:rFonts w:hint="eastAsia"/>
        </w:rPr>
        <w:t>责任人：分管司领导</w:t>
      </w:r>
    </w:p>
    <w:p>
      <w:pPr>
        <w:widowControl/>
        <w:spacing w:line="375" w:lineRule="atLeast"/>
        <w:ind w:firstLine="420" w:firstLineChars="200"/>
        <w:jc w:val="left"/>
        <w:rPr>
          <w:rFonts w:ascii="宋体" w:hAnsi="宋体"/>
          <w:kern w:val="0"/>
        </w:rPr>
      </w:pPr>
      <w:r>
        <w:rPr>
          <w:rFonts w:hint="eastAsia" w:ascii="宋体" w:hAnsi="宋体"/>
          <w:kern w:val="0"/>
        </w:rPr>
        <w:t>（十一）使用</w:t>
      </w:r>
      <w:r>
        <w:rPr>
          <w:rFonts w:ascii="宋体" w:hAnsi="宋体"/>
          <w:kern w:val="0"/>
        </w:rPr>
        <w:t>名录库情况</w:t>
      </w:r>
    </w:p>
    <w:p>
      <w:pPr>
        <w:widowControl/>
        <w:spacing w:line="375" w:lineRule="atLeast"/>
        <w:ind w:firstLine="420" w:firstLineChars="200"/>
        <w:jc w:val="left"/>
        <w:rPr>
          <w:rFonts w:hint="eastAsia" w:ascii="Times New Roman" w:hAnsi="Times New Roman" w:eastAsia="宋体" w:cs="Times New Roman"/>
          <w:bCs w:val="0"/>
          <w:kern w:val="2"/>
          <w:sz w:val="21"/>
          <w:szCs w:val="24"/>
          <w:lang w:val="en-US" w:eastAsia="zh-CN" w:bidi="ar-SA"/>
        </w:rPr>
      </w:pPr>
      <w:r>
        <w:rPr>
          <w:rFonts w:hint="eastAsia"/>
        </w:rPr>
        <w:t>本调查制度使用本部门基本单位名录库。</w:t>
      </w:r>
    </w:p>
    <w:p>
      <w:pPr>
        <w:pStyle w:val="4"/>
        <w:rPr>
          <w:rFonts w:ascii="宋体" w:hAnsi="宋体"/>
        </w:rPr>
      </w:pPr>
      <w:r>
        <w:rPr>
          <w:rFonts w:hint="eastAsia" w:ascii="Times New Roman" w:hAnsi="Times New Roman" w:eastAsia="宋体" w:cs="Times New Roman"/>
          <w:bCs w:val="0"/>
          <w:kern w:val="2"/>
          <w:sz w:val="21"/>
          <w:szCs w:val="24"/>
          <w:lang w:val="en-US" w:eastAsia="zh-CN" w:bidi="ar-SA"/>
        </w:rPr>
        <w:br w:type="page"/>
      </w:r>
      <w:bookmarkStart w:id="10" w:name="_Toc111121742"/>
      <w:bookmarkStart w:id="11" w:name="_Hlk106010392"/>
      <w:r>
        <w:rPr>
          <w:rFonts w:hint="eastAsia" w:ascii="宋体" w:hAnsi="宋体"/>
          <w:szCs w:val="28"/>
        </w:rPr>
        <w:t>（</w:t>
      </w:r>
      <w:r>
        <w:rPr>
          <w:rFonts w:hint="eastAsia" w:ascii="宋体" w:hAnsi="宋体"/>
        </w:rPr>
        <w:t>四）高等教育学校基本情况</w:t>
      </w:r>
      <w:bookmarkEnd w:id="10"/>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表</w:t>
      </w:r>
      <w:r>
        <w:rPr>
          <w:rFonts w:ascii="宋体" w:hAnsi="宋体"/>
          <w:bCs/>
          <w:sz w:val="18"/>
        </w:rPr>
        <w:t xml:space="preserve">    </w:t>
      </w:r>
      <w:r>
        <w:rPr>
          <w:rFonts w:hint="eastAsia" w:ascii="宋体" w:hAnsi="宋体"/>
          <w:bCs/>
          <w:sz w:val="18"/>
        </w:rPr>
        <w:t>号：</w:t>
      </w:r>
      <w:r>
        <w:rPr>
          <w:rFonts w:hint="eastAsia" w:ascii="宋体" w:hAnsi="宋体" w:cs="宋体"/>
          <w:kern w:val="0"/>
          <w:sz w:val="18"/>
          <w:szCs w:val="18"/>
        </w:rPr>
        <w:t>教基1304</w:t>
      </w:r>
    </w:p>
    <w:p>
      <w:pPr>
        <w:tabs>
          <w:tab w:val="left" w:pos="5910"/>
        </w:tabs>
        <w:autoSpaceDE w:val="0"/>
        <w:autoSpaceDN w:val="0"/>
        <w:adjustRightInd w:val="0"/>
        <w:snapToGrid w:val="0"/>
        <w:spacing w:line="240" w:lineRule="exact"/>
        <w:rPr>
          <w:rFonts w:ascii="宋体" w:hAnsi="宋体"/>
          <w:bCs/>
          <w:sz w:val="18"/>
        </w:rPr>
      </w:pPr>
      <w:r>
        <w:rPr>
          <w:rFonts w:ascii="宋体" w:hAnsi="宋体"/>
          <w:bCs/>
          <w:sz w:val="18"/>
        </w:rPr>
        <w:tab/>
      </w:r>
      <w:r>
        <w:rPr>
          <w:rFonts w:hint="eastAsia" w:ascii="宋体" w:hAnsi="宋体"/>
          <w:bCs/>
          <w:sz w:val="18"/>
        </w:rPr>
        <w:t>制定机关：教</w:t>
      </w:r>
      <w:r>
        <w:rPr>
          <w:rFonts w:ascii="宋体" w:hAnsi="宋体"/>
          <w:bCs/>
          <w:sz w:val="18"/>
        </w:rPr>
        <w:t xml:space="preserve">    </w:t>
      </w:r>
      <w:r>
        <w:rPr>
          <w:rFonts w:hint="eastAsia" w:ascii="宋体" w:hAnsi="宋体"/>
          <w:bCs/>
          <w:sz w:val="18"/>
        </w:rPr>
        <w:t>育</w:t>
      </w:r>
      <w:r>
        <w:rPr>
          <w:rFonts w:ascii="宋体" w:hAnsi="宋体"/>
          <w:bCs/>
          <w:sz w:val="18"/>
        </w:rPr>
        <w:t xml:space="preserve">    </w:t>
      </w:r>
      <w:r>
        <w:rPr>
          <w:rFonts w:hint="eastAsia" w:ascii="宋体" w:hAnsi="宋体"/>
          <w:bCs/>
          <w:sz w:val="18"/>
        </w:rPr>
        <w:t>部</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学校（机构）名称：</w:t>
      </w:r>
      <w:r>
        <w:rPr>
          <w:rFonts w:ascii="宋体" w:hAnsi="宋体"/>
          <w:bCs/>
          <w:sz w:val="18"/>
        </w:rPr>
        <w:tab/>
      </w:r>
      <w:r>
        <w:rPr>
          <w:rFonts w:hint="eastAsia" w:ascii="宋体" w:hAnsi="宋体"/>
          <w:bCs/>
          <w:sz w:val="18"/>
        </w:rPr>
        <w:t>批准机关：国</w:t>
      </w:r>
      <w:r>
        <w:rPr>
          <w:rFonts w:ascii="宋体" w:hAnsi="宋体"/>
          <w:bCs/>
          <w:sz w:val="18"/>
        </w:rPr>
        <w:t xml:space="preserve"> </w:t>
      </w:r>
      <w:r>
        <w:rPr>
          <w:rFonts w:hint="eastAsia" w:ascii="宋体" w:hAnsi="宋体"/>
          <w:bCs/>
          <w:sz w:val="18"/>
        </w:rPr>
        <w:t>家</w:t>
      </w:r>
      <w:r>
        <w:rPr>
          <w:rFonts w:ascii="宋体" w:hAnsi="宋体"/>
          <w:bCs/>
          <w:sz w:val="18"/>
        </w:rPr>
        <w:t xml:space="preserve"> </w:t>
      </w:r>
      <w:r>
        <w:rPr>
          <w:rFonts w:hint="eastAsia" w:ascii="宋体" w:hAnsi="宋体"/>
          <w:bCs/>
          <w:sz w:val="18"/>
        </w:rPr>
        <w:t>统</w:t>
      </w:r>
      <w:r>
        <w:rPr>
          <w:rFonts w:ascii="宋体" w:hAnsi="宋体"/>
          <w:bCs/>
          <w:sz w:val="18"/>
        </w:rPr>
        <w:t xml:space="preserve"> </w:t>
      </w:r>
      <w:r>
        <w:rPr>
          <w:rFonts w:hint="eastAsia" w:ascii="宋体" w:hAnsi="宋体"/>
          <w:bCs/>
          <w:sz w:val="18"/>
        </w:rPr>
        <w:t>计</w:t>
      </w:r>
      <w:r>
        <w:rPr>
          <w:rFonts w:ascii="宋体" w:hAnsi="宋体"/>
          <w:bCs/>
          <w:sz w:val="18"/>
        </w:rPr>
        <w:t xml:space="preserve"> </w:t>
      </w:r>
      <w:r>
        <w:rPr>
          <w:rFonts w:hint="eastAsia" w:ascii="宋体" w:hAnsi="宋体"/>
          <w:bCs/>
          <w:sz w:val="18"/>
        </w:rPr>
        <w:t>局</w:t>
      </w:r>
    </w:p>
    <w:p>
      <w:pPr>
        <w:tabs>
          <w:tab w:val="left" w:pos="5910"/>
        </w:tabs>
        <w:autoSpaceDE w:val="0"/>
        <w:autoSpaceDN w:val="0"/>
        <w:adjustRightInd w:val="0"/>
        <w:snapToGrid w:val="0"/>
        <w:spacing w:line="240" w:lineRule="exact"/>
        <w:rPr>
          <w:rFonts w:ascii="宋体" w:hAnsi="宋体"/>
          <w:bCs/>
          <w:sz w:val="18"/>
        </w:rPr>
      </w:pPr>
      <w:r>
        <w:rPr>
          <w:rFonts w:hint="eastAsia" w:ascii="宋体" w:hAnsi="宋体"/>
          <w:bCs/>
          <w:sz w:val="18"/>
        </w:rPr>
        <w:t>学校（机构）标识码：</w:t>
      </w:r>
      <w:r>
        <w:rPr>
          <w:rFonts w:ascii="宋体" w:hAnsi="宋体"/>
          <w:bCs/>
          <w:sz w:val="18"/>
        </w:rPr>
        <w:tab/>
      </w:r>
      <w:r>
        <w:rPr>
          <w:rFonts w:hint="eastAsia" w:ascii="宋体" w:hAnsi="宋体"/>
          <w:bCs/>
          <w:sz w:val="18"/>
        </w:rPr>
        <w:t>批准文号：</w:t>
      </w:r>
      <w:r>
        <w:rPr>
          <w:rFonts w:hint="eastAsia" w:ascii="宋体" w:hAnsi="宋体" w:cs="宋体"/>
          <w:sz w:val="18"/>
          <w:szCs w:val="18"/>
        </w:rPr>
        <w:t>国统制〔2021〕</w:t>
      </w:r>
      <w:r>
        <w:rPr>
          <w:rFonts w:hint="eastAsia" w:ascii="宋体" w:hAnsi="宋体"/>
          <w:sz w:val="18"/>
          <w:szCs w:val="18"/>
        </w:rPr>
        <w:t>135</w:t>
      </w:r>
      <w:r>
        <w:rPr>
          <w:rFonts w:hint="eastAsia" w:ascii="宋体" w:hAnsi="宋体" w:cs="宋体"/>
          <w:sz w:val="18"/>
          <w:szCs w:val="18"/>
        </w:rPr>
        <w:t>号</w:t>
      </w:r>
    </w:p>
    <w:p>
      <w:pPr>
        <w:tabs>
          <w:tab w:val="left" w:pos="5910"/>
        </w:tabs>
        <w:autoSpaceDE w:val="0"/>
        <w:autoSpaceDN w:val="0"/>
        <w:adjustRightInd w:val="0"/>
        <w:snapToGrid w:val="0"/>
        <w:spacing w:line="240" w:lineRule="exact"/>
        <w:rPr>
          <w:rFonts w:ascii="宋体" w:hAnsi="宋体"/>
          <w:bCs/>
          <w:sz w:val="18"/>
          <w:szCs w:val="18"/>
        </w:rPr>
      </w:pPr>
      <w:r>
        <w:rPr>
          <w:rFonts w:hint="eastAsia" w:ascii="宋体" w:hAnsi="宋体"/>
          <w:sz w:val="18"/>
        </w:rPr>
        <w:t>统一社会信用代码：</w:t>
      </w:r>
      <w:r>
        <w:rPr>
          <w:rFonts w:ascii="宋体" w:hAnsi="宋体"/>
          <w:sz w:val="18"/>
        </w:rPr>
        <w:t xml:space="preserve">                </w:t>
      </w:r>
      <w:r>
        <w:rPr>
          <w:rFonts w:hint="eastAsia" w:ascii="宋体" w:hAnsi="宋体"/>
          <w:bCs/>
          <w:sz w:val="18"/>
          <w:szCs w:val="18"/>
        </w:rPr>
        <w:t>（２０２</w:t>
      </w:r>
      <w:r>
        <w:rPr>
          <w:rFonts w:ascii="宋体" w:hAnsi="宋体"/>
          <w:bCs/>
          <w:sz w:val="18"/>
          <w:szCs w:val="18"/>
        </w:rPr>
        <w:t xml:space="preserve">  </w:t>
      </w:r>
      <w:r>
        <w:rPr>
          <w:rFonts w:hint="eastAsia" w:ascii="宋体" w:hAnsi="宋体"/>
          <w:bCs/>
          <w:sz w:val="18"/>
          <w:szCs w:val="18"/>
        </w:rPr>
        <w:t>学年）</w:t>
      </w:r>
      <w:r>
        <w:rPr>
          <w:rFonts w:ascii="宋体" w:hAnsi="宋体"/>
          <w:sz w:val="18"/>
        </w:rPr>
        <w:t xml:space="preserve">            </w:t>
      </w:r>
      <w:r>
        <w:rPr>
          <w:rFonts w:ascii="宋体" w:hAnsi="宋体"/>
          <w:sz w:val="18"/>
        </w:rPr>
        <w:tab/>
      </w:r>
      <w:r>
        <w:rPr>
          <w:rFonts w:hint="eastAsia" w:ascii="宋体" w:hAnsi="宋体"/>
          <w:bCs/>
          <w:sz w:val="18"/>
          <w:szCs w:val="18"/>
          <w:lang w:val="zh-CN"/>
        </w:rPr>
        <w:t>有效期至</w:t>
      </w:r>
      <w:r>
        <w:rPr>
          <w:rFonts w:hint="eastAsia" w:ascii="宋体" w:hAnsi="宋体"/>
          <w:bCs/>
          <w:sz w:val="18"/>
          <w:szCs w:val="18"/>
        </w:rPr>
        <w:t>：</w:t>
      </w:r>
      <w:r>
        <w:rPr>
          <w:rFonts w:ascii="宋体" w:hAnsi="宋体"/>
          <w:bCs/>
          <w:sz w:val="18"/>
          <w:szCs w:val="18"/>
        </w:rPr>
        <w:t>202</w:t>
      </w:r>
      <w:r>
        <w:rPr>
          <w:rFonts w:hint="eastAsia" w:ascii="宋体" w:hAnsi="宋体"/>
          <w:bCs/>
          <w:sz w:val="18"/>
          <w:szCs w:val="18"/>
        </w:rPr>
        <w:t>4</w:t>
      </w:r>
      <w:r>
        <w:rPr>
          <w:rFonts w:hint="eastAsia" w:ascii="宋体" w:hAnsi="宋体"/>
          <w:bCs/>
          <w:sz w:val="18"/>
          <w:szCs w:val="18"/>
          <w:lang w:val="zh-CN"/>
        </w:rPr>
        <w:t>年</w:t>
      </w:r>
      <w:r>
        <w:rPr>
          <w:rFonts w:hint="eastAsia" w:ascii="宋体" w:hAnsi="宋体"/>
          <w:bCs/>
          <w:sz w:val="18"/>
          <w:szCs w:val="18"/>
        </w:rPr>
        <w:t>11</w:t>
      </w:r>
      <w:r>
        <w:rPr>
          <w:rFonts w:hint="eastAsia" w:ascii="宋体" w:hAnsi="宋体"/>
          <w:bCs/>
          <w:sz w:val="18"/>
          <w:szCs w:val="18"/>
          <w:lang w:val="zh-CN"/>
        </w:rPr>
        <w:t>月</w:t>
      </w:r>
    </w:p>
    <w:tbl>
      <w:tblPr>
        <w:tblStyle w:val="5"/>
        <w:tblW w:w="5970" w:type="pct"/>
        <w:tblInd w:w="0" w:type="dxa"/>
        <w:tblBorders>
          <w:top w:val="single" w:color="auto" w:sz="8" w:space="0"/>
          <w:left w:val="none" w:color="auto" w:sz="0" w:space="0"/>
          <w:bottom w:val="single" w:color="auto" w:sz="8"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4118"/>
        <w:gridCol w:w="814"/>
        <w:gridCol w:w="462"/>
        <w:gridCol w:w="1136"/>
        <w:gridCol w:w="1852"/>
        <w:gridCol w:w="1793"/>
      </w:tblGrid>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567" w:hRule="exact"/>
        </w:trPr>
        <w:tc>
          <w:tcPr>
            <w:tcW w:w="2024" w:type="pct"/>
            <w:tcBorders>
              <w:top w:val="single" w:color="auto" w:sz="8"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指标名称</w:t>
            </w:r>
          </w:p>
        </w:tc>
        <w:tc>
          <w:tcPr>
            <w:tcW w:w="400" w:type="pct"/>
            <w:tcBorders>
              <w:top w:val="single" w:color="auto" w:sz="8" w:space="0"/>
              <w:left w:val="single" w:color="auto" w:sz="2" w:space="0"/>
              <w:bottom w:val="single" w:color="auto" w:sz="2" w:space="0"/>
              <w:right w:val="single" w:color="auto" w:sz="2" w:space="0"/>
            </w:tcBorders>
            <w:vAlign w:val="center"/>
          </w:tcPr>
          <w:p>
            <w:pPr>
              <w:widowControl/>
              <w:spacing w:line="280" w:lineRule="exact"/>
              <w:ind w:left="-44" w:leftChars="-21"/>
              <w:jc w:val="center"/>
              <w:rPr>
                <w:rFonts w:ascii="宋体" w:hAnsi="宋体" w:cs="宋体"/>
                <w:sz w:val="18"/>
                <w:szCs w:val="18"/>
              </w:rPr>
            </w:pPr>
            <w:r>
              <w:rPr>
                <w:rFonts w:hint="eastAsia" w:ascii="宋体" w:hAnsi="宋体" w:cs="宋体"/>
                <w:sz w:val="18"/>
                <w:szCs w:val="18"/>
              </w:rPr>
              <w:t>计量单位</w:t>
            </w:r>
          </w:p>
        </w:tc>
        <w:tc>
          <w:tcPr>
            <w:tcW w:w="227" w:type="pct"/>
            <w:tcBorders>
              <w:top w:val="single" w:color="auto" w:sz="8"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代码</w:t>
            </w:r>
          </w:p>
        </w:tc>
        <w:tc>
          <w:tcPr>
            <w:tcW w:w="558"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数量</w:t>
            </w:r>
          </w:p>
        </w:tc>
        <w:tc>
          <w:tcPr>
            <w:tcW w:w="910" w:type="pct"/>
            <w:tcBorders>
              <w:top w:val="single" w:color="auto" w:sz="8"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备注</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left="420" w:leftChars="200"/>
              <w:jc w:val="center"/>
              <w:rPr>
                <w:rFonts w:ascii="宋体" w:hAnsi="宋体" w:cs="宋体"/>
                <w:sz w:val="18"/>
                <w:szCs w:val="18"/>
              </w:rPr>
            </w:pPr>
            <w:r>
              <w:rPr>
                <w:rFonts w:hint="eastAsia" w:ascii="宋体" w:hAnsi="宋体" w:cs="宋体"/>
                <w:sz w:val="18"/>
                <w:szCs w:val="18"/>
              </w:rPr>
              <w:t>甲</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乙</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丙</w:t>
            </w:r>
          </w:p>
        </w:tc>
        <w:tc>
          <w:tcPr>
            <w:tcW w:w="558"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丁</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01</w:t>
            </w:r>
          </w:p>
        </w:tc>
        <w:tc>
          <w:tcPr>
            <w:tcW w:w="558" w:type="pct"/>
            <w:tcBorders>
              <w:top w:val="single" w:color="auto" w:sz="2" w:space="0"/>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硕士学位授权二级学科点（不含一级学科覆盖点）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博士学位授权一级学科点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博士学位授权二级学科点（不含一级学科覆盖点）</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国家一流学科数量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shd w:val="clear" w:color="auto" w:fill="auto"/>
            <w:vAlign w:val="center"/>
          </w:tcPr>
          <w:p>
            <w:pPr>
              <w:widowControl/>
              <w:spacing w:line="280" w:lineRule="exact"/>
              <w:jc w:val="left"/>
              <w:rPr>
                <w:rFonts w:ascii="宋体" w:hAnsi="宋体" w:cs="宋体"/>
                <w:kern w:val="0"/>
                <w:sz w:val="18"/>
                <w:szCs w:val="18"/>
              </w:rPr>
            </w:pPr>
            <w:r>
              <w:rPr>
                <w:rFonts w:hint="eastAsia" w:ascii="宋体" w:hAnsi="宋体"/>
                <w:sz w:val="18"/>
                <w:szCs w:val="18"/>
              </w:rPr>
              <w:t>省级一流学科数量</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国家重点实验室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sz w:val="18"/>
                <w:szCs w:val="18"/>
              </w:rPr>
              <w:t>国家工程实验室</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09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cs="宋体"/>
                <w:sz w:val="18"/>
                <w:szCs w:val="18"/>
              </w:rPr>
            </w:pPr>
            <w:r>
              <w:rPr>
                <w:rFonts w:hint="eastAsia" w:ascii="宋体" w:hAnsi="宋体" w:cs="宋体"/>
                <w:kern w:val="0"/>
                <w:sz w:val="18"/>
                <w:szCs w:val="18"/>
              </w:rPr>
              <w:t>国家工程技术研究中心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博士后科研流动站</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应届毕业生就业人数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1</w:t>
            </w:r>
            <w:r>
              <w:rPr>
                <w:rFonts w:ascii="宋体" w:hAnsi="宋体"/>
                <w:sz w:val="18"/>
                <w:szCs w:val="18"/>
              </w:rPr>
              <w:t>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应届毕业生升学人数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1</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19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专业数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sz w:val="18"/>
                <w:szCs w:val="18"/>
              </w:rPr>
            </w:pPr>
            <w:r>
              <w:rPr>
                <w:rFonts w:hint="eastAsia" w:ascii="宋体" w:hAnsi="宋体"/>
                <w:sz w:val="18"/>
                <w:szCs w:val="18"/>
              </w:rPr>
              <w:t>2</w:t>
            </w:r>
            <w:r>
              <w:rPr>
                <w:rFonts w:ascii="宋体" w:hAnsi="宋体"/>
                <w:sz w:val="18"/>
                <w:szCs w:val="18"/>
              </w:rPr>
              <w:t>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授予同等学力申请硕士学位人数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授予同等学力申请博士学位人数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中国科学院院士（人事关系在本校）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tcBorders>
            <w:shd w:val="clear" w:color="auto" w:fill="auto"/>
            <w:vAlign w:val="bottom"/>
          </w:tcPr>
          <w:p>
            <w:pPr>
              <w:widowControl/>
              <w:spacing w:line="280" w:lineRule="exact"/>
              <w:jc w:val="left"/>
              <w:rPr>
                <w:rFonts w:ascii="宋体" w:hAnsi="宋体"/>
                <w:sz w:val="18"/>
                <w:szCs w:val="18"/>
              </w:rPr>
            </w:pPr>
            <w:r>
              <w:rPr>
                <w:rFonts w:hint="eastAsia" w:ascii="宋体" w:hAnsi="宋体" w:cs="宋体"/>
                <w:kern w:val="0"/>
                <w:sz w:val="18"/>
                <w:szCs w:val="18"/>
              </w:rPr>
              <w:t>中国工程院院士（人事关系在本校）</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sz w:val="18"/>
                <w:szCs w:val="18"/>
              </w:rPr>
              <w:t>28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9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cs="宋体"/>
                <w:sz w:val="18"/>
                <w:szCs w:val="18"/>
              </w:rPr>
            </w:pPr>
            <w:r>
              <w:rPr>
                <w:rFonts w:hint="eastAsia" w:ascii="宋体" w:hAnsi="宋体"/>
                <w:sz w:val="18"/>
                <w:szCs w:val="18"/>
              </w:rPr>
              <w:t>在校生中住宿生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2</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研究生</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普通本科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高等职业教育本科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高等职业教育专科</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73" w:hRule="exact"/>
        </w:trPr>
        <w:tc>
          <w:tcPr>
            <w:tcW w:w="2024" w:type="pct"/>
            <w:tcBorders>
              <w:top w:val="single" w:color="auto" w:sz="2" w:space="0"/>
              <w:bottom w:val="single" w:color="auto" w:sz="2" w:space="0"/>
              <w:right w:val="single" w:color="auto" w:sz="2" w:space="0"/>
            </w:tcBorders>
            <w:vAlign w:val="center"/>
          </w:tcPr>
          <w:p>
            <w:pPr>
              <w:widowControl/>
              <w:spacing w:line="280" w:lineRule="exact"/>
              <w:jc w:val="left"/>
              <w:rPr>
                <w:rFonts w:ascii="宋体" w:hAnsi="宋体"/>
                <w:sz w:val="18"/>
                <w:szCs w:val="18"/>
              </w:rPr>
            </w:pPr>
            <w:r>
              <w:rPr>
                <w:rFonts w:hint="eastAsia" w:ascii="宋体" w:hAnsi="宋体"/>
                <w:sz w:val="18"/>
                <w:szCs w:val="18"/>
              </w:rPr>
              <w:t>实有床位数</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vAlign w:val="center"/>
          </w:tcPr>
          <w:p>
            <w:pPr>
              <w:widowControl/>
              <w:spacing w:line="280" w:lineRule="exact"/>
              <w:ind w:firstLine="180" w:firstLineChars="100"/>
              <w:jc w:val="left"/>
              <w:rPr>
                <w:rFonts w:ascii="宋体" w:hAnsi="宋体"/>
                <w:sz w:val="18"/>
                <w:szCs w:val="18"/>
              </w:rPr>
            </w:pPr>
            <w:r>
              <w:rPr>
                <w:rFonts w:hint="eastAsia" w:ascii="宋体" w:hAnsi="宋体"/>
                <w:sz w:val="18"/>
                <w:szCs w:val="18"/>
              </w:rPr>
              <w:t>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sz w:val="18"/>
                <w:szCs w:val="18"/>
              </w:rPr>
            </w:pPr>
            <w:r>
              <w:rPr>
                <w:rFonts w:hint="eastAsia" w:ascii="宋体" w:hAnsi="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340" w:hRule="exact"/>
        </w:trPr>
        <w:tc>
          <w:tcPr>
            <w:tcW w:w="2024" w:type="pct"/>
            <w:tcBorders>
              <w:top w:val="single" w:color="auto" w:sz="2" w:space="0"/>
              <w:bottom w:val="single" w:color="auto" w:sz="2" w:space="0"/>
              <w:right w:val="single" w:color="auto" w:sz="2" w:space="0"/>
            </w:tcBorders>
          </w:tcPr>
          <w:p>
            <w:pPr>
              <w:widowControl/>
              <w:spacing w:line="280" w:lineRule="exact"/>
              <w:ind w:firstLine="180" w:firstLineChars="100"/>
              <w:jc w:val="left"/>
              <w:rPr>
                <w:rFonts w:ascii="宋体" w:hAnsi="宋体" w:cs="宋体"/>
                <w:sz w:val="18"/>
                <w:szCs w:val="18"/>
              </w:rPr>
            </w:pPr>
            <w:r>
              <w:rPr>
                <w:rFonts w:hint="eastAsia" w:ascii="宋体" w:hAnsi="宋体" w:cs="宋体"/>
                <w:sz w:val="18"/>
                <w:szCs w:val="18"/>
              </w:rPr>
              <w:t>非学校产权</w:t>
            </w:r>
          </w:p>
        </w:tc>
        <w:tc>
          <w:tcPr>
            <w:tcW w:w="400"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张</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ind w:left="-27" w:leftChars="-13"/>
              <w:jc w:val="center"/>
              <w:rPr>
                <w:rFonts w:ascii="宋体" w:hAnsi="宋体" w:cs="宋体"/>
                <w:sz w:val="18"/>
                <w:szCs w:val="18"/>
              </w:rPr>
            </w:pPr>
            <w:r>
              <w:rPr>
                <w:rFonts w:ascii="宋体" w:hAnsi="宋体" w:cs="宋体"/>
                <w:sz w:val="18"/>
                <w:szCs w:val="18"/>
              </w:rPr>
              <w:t>36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普通、成人、科研</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上学年参加国家学生体质健康标准测试人数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优秀</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良好</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3</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ind w:firstLine="180" w:firstLineChars="100"/>
              <w:rPr>
                <w:rFonts w:ascii="宋体" w:hAnsi="宋体"/>
                <w:sz w:val="18"/>
                <w:szCs w:val="18"/>
              </w:rPr>
            </w:pPr>
            <w:r>
              <w:rPr>
                <w:rFonts w:hint="eastAsia" w:ascii="宋体" w:hAnsi="宋体"/>
                <w:sz w:val="18"/>
                <w:szCs w:val="18"/>
              </w:rPr>
              <w:t>不及格</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上学年全日制在校生短期出国校际交流人数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博物馆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美术馆</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44</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音乐厅和剧场</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45</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96" w:hRule="exact"/>
        </w:trPr>
        <w:tc>
          <w:tcPr>
            <w:tcW w:w="2024" w:type="pct"/>
            <w:tcBorders>
              <w:top w:val="single" w:color="auto" w:sz="2" w:space="0"/>
              <w:bottom w:val="single" w:color="auto" w:sz="2" w:space="0"/>
            </w:tcBorders>
            <w:shd w:val="clear" w:color="auto" w:fill="auto"/>
            <w:vAlign w:val="bottom"/>
          </w:tcPr>
          <w:p>
            <w:pPr>
              <w:spacing w:line="280" w:lineRule="exact"/>
              <w:rPr>
                <w:rFonts w:ascii="宋体" w:hAnsi="宋体"/>
                <w:sz w:val="18"/>
                <w:szCs w:val="18"/>
              </w:rPr>
            </w:pPr>
            <w:r>
              <w:rPr>
                <w:rFonts w:hint="eastAsia" w:ascii="宋体" w:hAnsi="宋体" w:cs="宋体"/>
                <w:kern w:val="0"/>
                <w:sz w:val="18"/>
                <w:szCs w:val="18"/>
              </w:rPr>
              <w:t>学校附属医院</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ascii="宋体" w:hAnsi="宋体" w:cs="宋体"/>
                <w:sz w:val="18"/>
                <w:szCs w:val="18"/>
              </w:rPr>
              <w:t>46</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建筑面积</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平方米</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7</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床位数</w:t>
            </w:r>
            <w:r>
              <w:rPr>
                <w:rFonts w:ascii="宋体" w:hAnsi="宋体" w:cs="宋体"/>
                <w:kern w:val="0"/>
                <w:sz w:val="18"/>
                <w:szCs w:val="18"/>
              </w:rPr>
              <w:t xml:space="preserve"> </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个</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8</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bottom"/>
          </w:tcPr>
          <w:p>
            <w:pPr>
              <w:spacing w:line="280" w:lineRule="exact"/>
              <w:ind w:firstLine="180" w:firstLineChars="100"/>
              <w:rPr>
                <w:rFonts w:ascii="宋体" w:hAnsi="宋体"/>
                <w:sz w:val="18"/>
                <w:szCs w:val="18"/>
              </w:rPr>
            </w:pPr>
            <w:r>
              <w:rPr>
                <w:rFonts w:hint="eastAsia" w:ascii="宋体" w:hAnsi="宋体" w:cs="宋体"/>
                <w:kern w:val="0"/>
                <w:sz w:val="18"/>
                <w:szCs w:val="18"/>
              </w:rPr>
              <w:t>临床教师</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4</w:t>
            </w:r>
            <w:r>
              <w:rPr>
                <w:rFonts w:ascii="宋体" w:hAnsi="宋体" w:cs="宋体"/>
                <w:sz w:val="18"/>
                <w:szCs w:val="18"/>
              </w:rPr>
              <w:t>9</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学校附属幼儿园、中小学</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所</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0</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普通、成人</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安全保卫人员</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1</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tcBorders>
            <w:shd w:val="clear" w:color="auto" w:fill="auto"/>
            <w:vAlign w:val="center"/>
          </w:tcPr>
          <w:p>
            <w:pPr>
              <w:spacing w:line="280" w:lineRule="exact"/>
              <w:rPr>
                <w:rFonts w:ascii="宋体" w:hAnsi="宋体" w:cs="宋体"/>
                <w:kern w:val="0"/>
                <w:sz w:val="18"/>
                <w:szCs w:val="18"/>
              </w:rPr>
            </w:pPr>
            <w:r>
              <w:rPr>
                <w:rFonts w:hint="eastAsia" w:ascii="宋体" w:hAnsi="宋体"/>
                <w:sz w:val="18"/>
                <w:szCs w:val="18"/>
              </w:rPr>
              <w:t>学校首席信息官（</w:t>
            </w:r>
            <w:r>
              <w:rPr>
                <w:rFonts w:ascii="宋体" w:hAnsi="宋体"/>
                <w:sz w:val="18"/>
                <w:szCs w:val="18"/>
              </w:rPr>
              <w:t>CIO）</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2</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预防艾滋病教育和性教育相关课程和活动</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3</w:t>
            </w:r>
          </w:p>
        </w:tc>
        <w:tc>
          <w:tcPr>
            <w:tcW w:w="558" w:type="pct"/>
            <w:tcBorders>
              <w:top w:val="nil"/>
              <w:left w:val="single" w:color="auto" w:sz="2" w:space="0"/>
              <w:bottom w:val="nil"/>
            </w:tcBorders>
            <w:vAlign w:val="center"/>
          </w:tcPr>
          <w:p>
            <w:pPr>
              <w:widowControl/>
              <w:spacing w:line="280" w:lineRule="exact"/>
              <w:jc w:val="center"/>
              <w:rPr>
                <w:rFonts w:ascii="宋体" w:hAnsi="宋体" w:cs="宋体"/>
                <w:sz w:val="18"/>
                <w:szCs w:val="18"/>
              </w:rPr>
            </w:pPr>
            <w:r>
              <w:rPr>
                <w:rFonts w:ascii="宋体" w:hAnsi="宋体" w:cs="宋体"/>
                <w:sz w:val="18"/>
                <w:szCs w:val="18"/>
              </w:rPr>
              <w:t>1.</w:t>
            </w:r>
            <w:r>
              <w:rPr>
                <w:rFonts w:hint="eastAsia" w:ascii="宋体" w:hAnsi="宋体" w:cs="宋体"/>
                <w:sz w:val="18"/>
                <w:szCs w:val="18"/>
              </w:rPr>
              <w:t>有</w:t>
            </w:r>
            <w:r>
              <w:rPr>
                <w:rFonts w:ascii="宋体" w:hAnsi="宋体" w:cs="宋体"/>
                <w:sz w:val="18"/>
                <w:szCs w:val="18"/>
              </w:rPr>
              <w:t xml:space="preserve"> 2.无</w:t>
            </w: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none" w:color="auto" w:sz="0" w:space="0"/>
            <w:insideV w:val="none" w:color="auto" w:sz="0" w:space="0"/>
          </w:tblBorders>
          <w:tblCellMar>
            <w:top w:w="0" w:type="dxa"/>
            <w:left w:w="108" w:type="dxa"/>
            <w:bottom w:w="0" w:type="dxa"/>
            <w:right w:w="108" w:type="dxa"/>
          </w:tblCellMar>
        </w:tblPrEx>
        <w:trPr>
          <w:gridAfter w:val="1"/>
          <w:wAfter w:w="881" w:type="pct"/>
          <w:trHeight w:val="284" w:hRule="exact"/>
        </w:trPr>
        <w:tc>
          <w:tcPr>
            <w:tcW w:w="2024" w:type="pct"/>
            <w:tcBorders>
              <w:top w:val="single" w:color="auto" w:sz="2" w:space="0"/>
              <w:bottom w:val="single" w:color="auto" w:sz="2" w:space="0"/>
              <w:right w:val="single" w:color="auto" w:sz="2" w:space="0"/>
            </w:tcBorders>
            <w:vAlign w:val="center"/>
          </w:tcPr>
          <w:p>
            <w:pPr>
              <w:spacing w:line="280" w:lineRule="exact"/>
              <w:rPr>
                <w:rFonts w:ascii="宋体" w:hAnsi="宋体"/>
                <w:sz w:val="18"/>
                <w:szCs w:val="18"/>
              </w:rPr>
            </w:pPr>
            <w:r>
              <w:rPr>
                <w:rFonts w:hint="eastAsia" w:ascii="宋体" w:hAnsi="宋体"/>
                <w:sz w:val="18"/>
                <w:szCs w:val="18"/>
              </w:rPr>
              <w:t>预科注册学生数</w:t>
            </w:r>
          </w:p>
        </w:tc>
        <w:tc>
          <w:tcPr>
            <w:tcW w:w="400" w:type="pct"/>
            <w:tcBorders>
              <w:top w:val="single" w:color="auto" w:sz="2" w:space="0"/>
              <w:left w:val="single" w:color="auto" w:sz="2" w:space="0"/>
              <w:bottom w:val="single" w:color="auto" w:sz="2" w:space="0"/>
              <w:right w:val="single" w:color="auto" w:sz="2" w:space="0"/>
            </w:tcBorders>
            <w:vAlign w:val="center"/>
          </w:tcPr>
          <w:p>
            <w:pPr>
              <w:spacing w:line="280" w:lineRule="exact"/>
              <w:jc w:val="center"/>
              <w:rPr>
                <w:rFonts w:ascii="宋体" w:hAnsi="宋体"/>
                <w:sz w:val="18"/>
                <w:szCs w:val="18"/>
              </w:rPr>
            </w:pPr>
            <w:r>
              <w:rPr>
                <w:rFonts w:hint="eastAsia" w:ascii="宋体" w:hAnsi="宋体"/>
                <w:sz w:val="18"/>
                <w:szCs w:val="18"/>
              </w:rPr>
              <w:t>人</w:t>
            </w:r>
          </w:p>
        </w:tc>
        <w:tc>
          <w:tcPr>
            <w:tcW w:w="227" w:type="pct"/>
            <w:tcBorders>
              <w:top w:val="single" w:color="auto" w:sz="2" w:space="0"/>
              <w:left w:val="single" w:color="auto" w:sz="2" w:space="0"/>
              <w:bottom w:val="single" w:color="auto" w:sz="2" w:space="0"/>
              <w:right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5</w:t>
            </w:r>
            <w:r>
              <w:rPr>
                <w:rFonts w:ascii="宋体" w:hAnsi="宋体" w:cs="宋体"/>
                <w:sz w:val="18"/>
                <w:szCs w:val="18"/>
              </w:rPr>
              <w:t>4</w:t>
            </w:r>
          </w:p>
        </w:tc>
        <w:tc>
          <w:tcPr>
            <w:tcW w:w="558" w:type="pct"/>
            <w:tcBorders>
              <w:top w:val="nil"/>
              <w:left w:val="single" w:color="auto" w:sz="2" w:space="0"/>
              <w:bottom w:val="single" w:color="auto" w:sz="2" w:space="0"/>
            </w:tcBorders>
            <w:vAlign w:val="center"/>
          </w:tcPr>
          <w:p>
            <w:pPr>
              <w:widowControl/>
              <w:spacing w:line="280" w:lineRule="exact"/>
              <w:jc w:val="center"/>
              <w:rPr>
                <w:rFonts w:ascii="宋体" w:hAnsi="宋体" w:cs="宋体"/>
                <w:sz w:val="18"/>
                <w:szCs w:val="18"/>
              </w:rPr>
            </w:pPr>
          </w:p>
        </w:tc>
        <w:tc>
          <w:tcPr>
            <w:tcW w:w="910" w:type="pct"/>
            <w:tcBorders>
              <w:top w:val="single" w:color="auto" w:sz="2" w:space="0"/>
              <w:left w:val="single" w:color="auto" w:sz="2" w:space="0"/>
              <w:bottom w:val="single" w:color="auto" w:sz="2" w:space="0"/>
            </w:tcBorders>
            <w:vAlign w:val="center"/>
          </w:tcPr>
          <w:p>
            <w:pPr>
              <w:widowControl/>
              <w:spacing w:line="280" w:lineRule="exact"/>
              <w:jc w:val="center"/>
              <w:rPr>
                <w:rFonts w:ascii="宋体" w:hAnsi="宋体" w:cs="宋体"/>
                <w:sz w:val="18"/>
                <w:szCs w:val="18"/>
              </w:rPr>
            </w:pPr>
            <w:r>
              <w:rPr>
                <w:rFonts w:hint="eastAsia" w:ascii="宋体" w:hAnsi="宋体" w:cs="宋体"/>
                <w:sz w:val="18"/>
                <w:szCs w:val="18"/>
              </w:rPr>
              <w:t>普通</w:t>
            </w:r>
          </w:p>
        </w:tc>
      </w:tr>
      <w:tr>
        <w:tblPrEx>
          <w:tblBorders>
            <w:top w:val="single" w:color="auto" w:sz="8" w:space="0"/>
            <w:left w:val="none" w:color="auto" w:sz="0" w:space="0"/>
            <w:bottom w:val="single" w:color="auto" w:sz="8" w:space="0"/>
            <w:right w:val="none" w:color="auto" w:sz="0" w:space="0"/>
            <w:insideH w:val="single" w:color="auto" w:sz="2" w:space="0"/>
            <w:insideV w:val="single" w:color="auto" w:sz="2" w:space="0"/>
          </w:tblBorders>
          <w:tblCellMar>
            <w:top w:w="0" w:type="dxa"/>
            <w:left w:w="108" w:type="dxa"/>
            <w:bottom w:w="0" w:type="dxa"/>
            <w:right w:w="108" w:type="dxa"/>
          </w:tblCellMar>
        </w:tblPrEx>
        <w:tc>
          <w:tcPr>
            <w:tcW w:w="4119" w:type="pct"/>
            <w:gridSpan w:val="5"/>
            <w:tcBorders>
              <w:top w:val="single" w:color="auto" w:sz="2" w:space="0"/>
              <w:bottom w:val="single" w:color="auto" w:sz="8" w:space="0"/>
              <w:right w:val="nil"/>
            </w:tcBorders>
            <w:vAlign w:val="center"/>
          </w:tcPr>
          <w:p>
            <w:pPr>
              <w:spacing w:line="280" w:lineRule="exact"/>
              <w:rPr>
                <w:rFonts w:ascii="宋体" w:hAnsi="宋体" w:cs="宋体"/>
                <w:sz w:val="18"/>
                <w:szCs w:val="18"/>
              </w:rPr>
            </w:pPr>
            <w:r>
              <w:rPr>
                <w:rFonts w:hint="eastAsia" w:ascii="宋体" w:hAnsi="宋体" w:cs="宋体"/>
                <w:sz w:val="18"/>
                <w:szCs w:val="18"/>
              </w:rPr>
              <w:t>学校简介：</w:t>
            </w:r>
          </w:p>
          <w:p>
            <w:pPr>
              <w:spacing w:line="280" w:lineRule="exact"/>
              <w:ind w:firstLine="360" w:firstLineChars="200"/>
              <w:rPr>
                <w:rFonts w:ascii="宋体" w:hAnsi="宋体" w:cs="宋体"/>
                <w:sz w:val="18"/>
                <w:szCs w:val="18"/>
              </w:rPr>
            </w:pPr>
            <w:r>
              <w:rPr>
                <w:rFonts w:hint="eastAsia" w:ascii="宋体" w:hAnsi="宋体" w:cs="宋体"/>
                <w:sz w:val="18"/>
                <w:szCs w:val="18"/>
              </w:rPr>
              <w:t>一、历史沿革：</w:t>
            </w:r>
          </w:p>
          <w:p>
            <w:pPr>
              <w:spacing w:line="280" w:lineRule="exact"/>
              <w:ind w:firstLine="360" w:firstLineChars="200"/>
              <w:rPr>
                <w:rFonts w:ascii="宋体" w:hAnsi="宋体" w:cs="宋体"/>
                <w:sz w:val="18"/>
                <w:szCs w:val="18"/>
              </w:rPr>
            </w:pPr>
            <w:r>
              <w:rPr>
                <w:rFonts w:hint="eastAsia" w:ascii="宋体" w:hAnsi="宋体" w:cs="宋体"/>
                <w:sz w:val="18"/>
                <w:szCs w:val="18"/>
              </w:rPr>
              <w:t>二、院系设置：</w:t>
            </w:r>
          </w:p>
          <w:p>
            <w:pPr>
              <w:spacing w:line="280" w:lineRule="exact"/>
              <w:ind w:firstLine="360" w:firstLineChars="200"/>
              <w:rPr>
                <w:rFonts w:ascii="宋体" w:hAnsi="宋体" w:cs="宋体"/>
                <w:sz w:val="18"/>
                <w:szCs w:val="18"/>
              </w:rPr>
            </w:pPr>
            <w:r>
              <w:rPr>
                <w:rFonts w:hint="eastAsia" w:ascii="宋体" w:hAnsi="宋体" w:cs="宋体"/>
                <w:sz w:val="18"/>
                <w:szCs w:val="18"/>
              </w:rPr>
              <w:t>三、专业设置：</w:t>
            </w:r>
          </w:p>
          <w:p>
            <w:pPr>
              <w:spacing w:line="280" w:lineRule="exact"/>
              <w:ind w:firstLine="360" w:firstLineChars="200"/>
              <w:rPr>
                <w:rFonts w:ascii="宋体" w:hAnsi="宋体" w:cs="宋体"/>
                <w:sz w:val="18"/>
                <w:szCs w:val="18"/>
              </w:rPr>
            </w:pPr>
            <w:r>
              <w:rPr>
                <w:rFonts w:hint="eastAsia" w:ascii="宋体" w:hAnsi="宋体" w:cs="宋体"/>
                <w:sz w:val="18"/>
                <w:szCs w:val="18"/>
              </w:rPr>
              <w:t>四、国家级、省部级研究机构设置：</w:t>
            </w:r>
          </w:p>
          <w:p>
            <w:pPr>
              <w:spacing w:line="280" w:lineRule="exact"/>
              <w:ind w:firstLine="720" w:firstLineChars="400"/>
              <w:rPr>
                <w:rFonts w:ascii="宋体" w:hAnsi="宋体" w:cs="宋体"/>
                <w:sz w:val="18"/>
                <w:szCs w:val="18"/>
              </w:rPr>
            </w:pPr>
            <w:r>
              <w:rPr>
                <w:rFonts w:ascii="宋体" w:hAnsi="宋体" w:cs="宋体"/>
                <w:sz w:val="18"/>
                <w:szCs w:val="18"/>
              </w:rPr>
              <w:t>1.实验室：</w:t>
            </w:r>
          </w:p>
          <w:p>
            <w:pPr>
              <w:spacing w:line="280" w:lineRule="exact"/>
              <w:ind w:firstLine="720" w:firstLineChars="400"/>
              <w:rPr>
                <w:rFonts w:ascii="宋体" w:hAnsi="宋体" w:cs="宋体"/>
                <w:sz w:val="18"/>
                <w:szCs w:val="18"/>
              </w:rPr>
            </w:pPr>
            <w:r>
              <w:rPr>
                <w:rFonts w:ascii="宋体" w:hAnsi="宋体" w:cs="宋体"/>
                <w:sz w:val="18"/>
                <w:szCs w:val="18"/>
              </w:rPr>
              <w:t>2.研究中心（所）：</w:t>
            </w:r>
          </w:p>
          <w:p>
            <w:pPr>
              <w:spacing w:line="280" w:lineRule="exact"/>
              <w:ind w:firstLine="360" w:firstLineChars="200"/>
              <w:rPr>
                <w:rFonts w:ascii="宋体" w:hAnsi="宋体" w:cs="宋体"/>
                <w:sz w:val="18"/>
                <w:szCs w:val="18"/>
              </w:rPr>
            </w:pPr>
            <w:r>
              <w:rPr>
                <w:rFonts w:hint="eastAsia" w:ascii="宋体" w:hAnsi="宋体" w:cs="宋体"/>
                <w:sz w:val="18"/>
                <w:szCs w:val="18"/>
              </w:rPr>
              <w:t>五、博士后科研流动站：</w:t>
            </w:r>
          </w:p>
          <w:p>
            <w:pPr>
              <w:spacing w:line="280" w:lineRule="exact"/>
              <w:ind w:firstLine="360" w:firstLineChars="200"/>
              <w:rPr>
                <w:rFonts w:ascii="宋体" w:hAnsi="宋体" w:cs="宋体"/>
                <w:sz w:val="18"/>
                <w:szCs w:val="18"/>
              </w:rPr>
            </w:pPr>
            <w:r>
              <w:rPr>
                <w:rFonts w:hint="eastAsia" w:ascii="宋体" w:hAnsi="宋体" w:cs="宋体"/>
                <w:sz w:val="18"/>
                <w:szCs w:val="18"/>
              </w:rPr>
              <w:t>六、定期公开出版的专业刊物：</w:t>
            </w:r>
          </w:p>
          <w:p>
            <w:pPr>
              <w:spacing w:line="280" w:lineRule="exact"/>
              <w:ind w:firstLine="360" w:firstLineChars="200"/>
              <w:rPr>
                <w:rFonts w:ascii="宋体" w:hAnsi="宋体" w:cs="宋体"/>
                <w:sz w:val="18"/>
                <w:szCs w:val="18"/>
              </w:rPr>
            </w:pPr>
            <w:r>
              <w:rPr>
                <w:rFonts w:hint="eastAsia" w:ascii="宋体" w:hAnsi="宋体" w:cs="宋体"/>
                <w:sz w:val="18"/>
                <w:szCs w:val="18"/>
              </w:rPr>
              <w:t>七、学校设立奖学金情况：学校设立奖学金</w:t>
            </w:r>
            <w:r>
              <w:rPr>
                <w:rFonts w:ascii="宋体" w:hAnsi="宋体" w:cs="宋体"/>
                <w:sz w:val="18"/>
                <w:szCs w:val="18"/>
              </w:rPr>
              <w:t xml:space="preserve">      </w:t>
            </w:r>
            <w:r>
              <w:rPr>
                <w:rFonts w:hint="eastAsia" w:ascii="宋体" w:hAnsi="宋体" w:cs="宋体"/>
                <w:sz w:val="18"/>
                <w:szCs w:val="18"/>
              </w:rPr>
              <w:t>项，奖励总金额元／年，最低金额　　　元／年。</w:t>
            </w:r>
          </w:p>
          <w:p>
            <w:pPr>
              <w:spacing w:line="280" w:lineRule="exact"/>
              <w:ind w:firstLine="360" w:firstLineChars="200"/>
              <w:rPr>
                <w:rFonts w:ascii="宋体" w:hAnsi="宋体"/>
                <w:sz w:val="18"/>
                <w:szCs w:val="18"/>
              </w:rPr>
            </w:pPr>
            <w:r>
              <w:rPr>
                <w:rFonts w:hint="eastAsia" w:ascii="宋体" w:hAnsi="宋体" w:cs="宋体"/>
                <w:sz w:val="18"/>
                <w:szCs w:val="18"/>
              </w:rPr>
              <w:t>八、主要校办产业：</w:t>
            </w:r>
          </w:p>
        </w:tc>
        <w:tc>
          <w:tcPr>
            <w:tcW w:w="881" w:type="pct"/>
            <w:tcBorders>
              <w:top w:val="nil"/>
              <w:left w:val="nil"/>
              <w:bottom w:val="nil"/>
            </w:tcBorders>
            <w:vAlign w:val="center"/>
          </w:tcPr>
          <w:p>
            <w:pPr>
              <w:ind w:right="720"/>
              <w:rPr>
                <w:rFonts w:ascii="宋体" w:hAnsi="宋体"/>
                <w:sz w:val="18"/>
                <w:szCs w:val="18"/>
              </w:rPr>
            </w:pPr>
          </w:p>
        </w:tc>
      </w:tr>
    </w:tbl>
    <w:p>
      <w:pPr>
        <w:spacing w:line="240" w:lineRule="exact"/>
        <w:rPr>
          <w:rFonts w:ascii="宋体" w:hAnsi="宋体"/>
          <w:sz w:val="18"/>
          <w:szCs w:val="18"/>
        </w:rPr>
      </w:pPr>
      <w:r>
        <w:rPr>
          <w:rFonts w:hint="eastAsia" w:ascii="宋体" w:hAnsi="宋体"/>
          <w:sz w:val="18"/>
          <w:szCs w:val="18"/>
        </w:rPr>
        <w:t>单位负责人：</w:t>
      </w:r>
      <w:r>
        <w:rPr>
          <w:rFonts w:ascii="宋体" w:hAnsi="宋体"/>
          <w:sz w:val="18"/>
          <w:szCs w:val="18"/>
        </w:rPr>
        <w:t xml:space="preserve">      </w:t>
      </w:r>
      <w:r>
        <w:rPr>
          <w:rFonts w:hint="eastAsia" w:ascii="宋体" w:hAnsi="宋体"/>
          <w:sz w:val="18"/>
          <w:szCs w:val="18"/>
        </w:rPr>
        <w:t>统计负责人：</w:t>
      </w:r>
      <w:r>
        <w:rPr>
          <w:rFonts w:ascii="宋体" w:hAnsi="宋体"/>
          <w:sz w:val="18"/>
          <w:szCs w:val="18"/>
        </w:rPr>
        <w:t xml:space="preserve">        </w:t>
      </w:r>
      <w:r>
        <w:rPr>
          <w:rFonts w:hint="eastAsia" w:ascii="宋体" w:hAnsi="宋体"/>
          <w:sz w:val="18"/>
          <w:szCs w:val="18"/>
        </w:rPr>
        <w:t>填表人：</w:t>
      </w:r>
      <w:r>
        <w:rPr>
          <w:rFonts w:ascii="宋体" w:hAnsi="宋体"/>
          <w:sz w:val="18"/>
          <w:szCs w:val="18"/>
        </w:rPr>
        <w:t xml:space="preserve">   </w:t>
      </w:r>
      <w:r>
        <w:rPr>
          <w:rFonts w:hint="eastAsia" w:ascii="宋体" w:hAnsi="宋体"/>
          <w:sz w:val="18"/>
          <w:szCs w:val="18"/>
        </w:rPr>
        <w:t>联系电话：</w:t>
      </w:r>
      <w:r>
        <w:rPr>
          <w:rFonts w:ascii="宋体" w:hAnsi="宋体"/>
          <w:sz w:val="18"/>
          <w:szCs w:val="18"/>
        </w:rPr>
        <w:t xml:space="preserve">        </w:t>
      </w:r>
      <w:r>
        <w:rPr>
          <w:rFonts w:hint="eastAsia" w:ascii="宋体" w:hAnsi="宋体"/>
          <w:sz w:val="18"/>
          <w:szCs w:val="18"/>
        </w:rPr>
        <w:t>报出日期：</w:t>
      </w:r>
      <w:r>
        <w:rPr>
          <w:rFonts w:ascii="宋体" w:hAnsi="宋体"/>
          <w:sz w:val="18"/>
          <w:szCs w:val="18"/>
        </w:rPr>
        <w:t xml:space="preserve">202  </w:t>
      </w:r>
      <w:r>
        <w:rPr>
          <w:rFonts w:hint="eastAsia" w:ascii="宋体" w:hAnsi="宋体"/>
          <w:sz w:val="18"/>
          <w:szCs w:val="18"/>
        </w:rPr>
        <w:t>年</w:t>
      </w:r>
      <w:r>
        <w:rPr>
          <w:rFonts w:ascii="宋体" w:hAnsi="宋体"/>
          <w:sz w:val="18"/>
          <w:szCs w:val="18"/>
        </w:rPr>
        <w:t xml:space="preserve">   </w:t>
      </w:r>
      <w:r>
        <w:rPr>
          <w:rFonts w:hint="eastAsia" w:ascii="宋体" w:hAnsi="宋体"/>
          <w:sz w:val="18"/>
          <w:szCs w:val="18"/>
        </w:rPr>
        <w:t>月</w:t>
      </w:r>
      <w:r>
        <w:rPr>
          <w:rFonts w:ascii="宋体" w:hAnsi="宋体"/>
          <w:sz w:val="18"/>
          <w:szCs w:val="18"/>
        </w:rPr>
        <w:t xml:space="preserve">   </w:t>
      </w:r>
      <w:r>
        <w:rPr>
          <w:rFonts w:hint="eastAsia" w:ascii="宋体" w:hAnsi="宋体"/>
          <w:sz w:val="18"/>
          <w:szCs w:val="18"/>
        </w:rPr>
        <w:t>日</w:t>
      </w:r>
    </w:p>
    <w:p>
      <w:pPr>
        <w:tabs>
          <w:tab w:val="left" w:pos="567"/>
        </w:tabs>
        <w:spacing w:line="240" w:lineRule="exact"/>
        <w:ind w:left="1946" w:hanging="1945" w:hangingChars="1081"/>
        <w:rPr>
          <w:rFonts w:ascii="宋体" w:hAnsi="宋体"/>
          <w:sz w:val="18"/>
          <w:szCs w:val="18"/>
        </w:rPr>
      </w:pPr>
      <w:r>
        <w:rPr>
          <w:rFonts w:hint="eastAsia" w:ascii="宋体" w:hAnsi="宋体"/>
          <w:sz w:val="18"/>
          <w:szCs w:val="18"/>
        </w:rPr>
        <w:t>说明：</w:t>
      </w:r>
    </w:p>
    <w:p>
      <w:pPr>
        <w:spacing w:line="240" w:lineRule="exact"/>
        <w:rPr>
          <w:rFonts w:ascii="宋体" w:hAnsi="宋体"/>
          <w:sz w:val="18"/>
          <w:szCs w:val="18"/>
        </w:rPr>
      </w:pPr>
      <w:r>
        <w:rPr>
          <w:rFonts w:ascii="宋体" w:hAnsi="宋体"/>
          <w:sz w:val="18"/>
          <w:szCs w:val="18"/>
        </w:rPr>
        <w:t>1.</w:t>
      </w:r>
      <w:r>
        <w:rPr>
          <w:rFonts w:hint="eastAsia" w:ascii="宋体" w:hAnsi="宋体"/>
          <w:sz w:val="18"/>
          <w:szCs w:val="18"/>
        </w:rPr>
        <w:t>填报范围</w:t>
      </w:r>
    </w:p>
    <w:p>
      <w:pPr>
        <w:spacing w:line="240" w:lineRule="exact"/>
        <w:ind w:firstLine="360" w:firstLineChars="200"/>
        <w:rPr>
          <w:rFonts w:ascii="宋体" w:hAnsi="宋体"/>
          <w:sz w:val="18"/>
          <w:szCs w:val="18"/>
        </w:rPr>
      </w:pPr>
      <w:r>
        <w:rPr>
          <w:rFonts w:hint="eastAsia" w:ascii="宋体" w:hAnsi="宋体"/>
          <w:sz w:val="18"/>
          <w:szCs w:val="18"/>
        </w:rPr>
        <w:t>本表由大学、学院、独立学院、其他普通高教机构（分校或大专班）、成人高校（包括职工高校、农民高校、管理干部学院、教育学院、独立函授学院、广播电视大学、其他成人高教机构）和培养研究生的科研机构填报（含撤销学校）。</w:t>
      </w:r>
    </w:p>
    <w:p>
      <w:pPr>
        <w:spacing w:line="240" w:lineRule="exact"/>
        <w:ind w:left="1"/>
        <w:rPr>
          <w:rFonts w:ascii="宋体" w:hAnsi="宋体"/>
          <w:sz w:val="18"/>
          <w:szCs w:val="18"/>
        </w:rPr>
      </w:pPr>
      <w:r>
        <w:rPr>
          <w:rFonts w:ascii="宋体" w:hAnsi="宋体"/>
          <w:sz w:val="18"/>
          <w:szCs w:val="18"/>
        </w:rPr>
        <w:t>2.</w:t>
      </w:r>
      <w:r>
        <w:rPr>
          <w:rFonts w:hint="eastAsia" w:ascii="宋体" w:hAnsi="宋体"/>
          <w:sz w:val="18"/>
          <w:szCs w:val="18"/>
        </w:rPr>
        <w:t>指标解释：</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1）一流学科数量是指经省级以上教育行政部门认定的一流学科。</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2）国家实验室</w:t>
      </w:r>
      <w:r>
        <w:rPr>
          <w:rFonts w:hint="eastAsia" w:ascii="宋体" w:hAnsi="宋体"/>
          <w:sz w:val="18"/>
          <w:szCs w:val="18"/>
        </w:rPr>
        <w:t>是指</w:t>
      </w:r>
      <w:r>
        <w:rPr>
          <w:rFonts w:ascii="宋体" w:hAnsi="宋体"/>
          <w:sz w:val="18"/>
          <w:szCs w:val="18"/>
        </w:rPr>
        <w:t>以国家现代化建设和社会发展的重大需求为导向，开展基础研究、竞争前沿高技术研究和社会公益研究，积极承担国家重大科研任务的国家级科研机构。根据国家重大战略需求，在新兴前沿交叉领域和具有我国特色和优势的领域，依托国家科研院所和研究型大学，建设若干队伍强、水平高、学科综合交叉的国家实验室。（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国家重点实验室是国家科技创新体系的重要组成部分，国家在某一学科领域或科研前沿重点扶持设立的实验室。是国家组织高水平基础研究和应用基础研究、聚集和培养优秀科学家、开展高层次学术交流的重要基地。（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4）国家工程实验室是国家科技创新体系的重要组成部分，是依托企业、转制科研机构、科研院所或高校等设立的研究开发实体。（国家发展和改革委员会审批）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国家工程研究中心是国家科技创新体系的重要组成部分，根据建设创新型国家和产业结构优化升级的重大战略需求，以提高自主创新能力、增强产业核心竞争能力和发展后劲为目标，组织具有较强研究开发和综合实力的高校、科研机构和企业等建设的研究开发实体。（国家发展和改革委员会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6）国家工程技术研究中心是国家科技发展计划的重要组成部分，主要依托于行业、领域科技实力雄厚</w:t>
      </w:r>
      <w:r>
        <w:rPr>
          <w:rFonts w:hint="eastAsia" w:ascii="宋体" w:hAnsi="宋体"/>
          <w:sz w:val="18"/>
          <w:szCs w:val="18"/>
        </w:rPr>
        <w:t>的重点科研机构、科技型企业或高校，拥有国内一流的工程技术研究开发、设计和试验的专业人才队伍，具有较完备的工程技术综合配套试验条件，能够提供多种综合性服务，与相关企业紧密联系，同时具有自我良性循环发展机制的科研开发实体。（科学技术部审批）</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7）博士后科研流动站是指根据《博士后管理工作规定》在高等院校或科研院所具有博士授予权的一级学科内，经批准可以招收博士后研究人员的组织。</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8）应届毕业生就业人数是指截至统计时点（9月1日）取得三方协议的应届毕业生人数。不含灵活就业人数。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9）应届毕业生升学人数是指截至统计时点（9月1日）取得上一级学校（含国外高校、成人高校）录取通知书的应届毕业生人数。</w:t>
      </w:r>
      <w:r>
        <w:rPr>
          <w:rFonts w:hint="eastAsia" w:ascii="宋体" w:hAnsi="宋体"/>
          <w:sz w:val="18"/>
          <w:szCs w:val="18"/>
        </w:rPr>
        <w:t>如高等职业教育专科学生取得本科层次教育录取通知书，普通本科学生取得研究生层次录取通知书。</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10）专业数是指经省级以上教育行政部门</w:t>
      </w:r>
      <w:r>
        <w:rPr>
          <w:rFonts w:hint="eastAsia" w:ascii="宋体" w:hAnsi="宋体"/>
          <w:sz w:val="18"/>
          <w:szCs w:val="18"/>
        </w:rPr>
        <w:t>审批和备案的专业数，不包括成人、网络教育的专业数。</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11）在校生中住宿生是指在</w:t>
      </w:r>
      <w:r>
        <w:rPr>
          <w:rFonts w:hint="eastAsia" w:ascii="宋体" w:hAnsi="宋体"/>
          <w:sz w:val="18"/>
          <w:szCs w:val="18"/>
        </w:rPr>
        <w:t>学校统一管理的学生宿舍（公寓）里住宿的学生。</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12）实有床位数是指截至统计时点（9月1日），学校实际拥有的可提供给在校生住宿的床位数。包括学校产权的</w:t>
      </w:r>
      <w:r>
        <w:rPr>
          <w:rFonts w:hint="eastAsia" w:ascii="宋体" w:hAnsi="宋体"/>
          <w:sz w:val="18"/>
          <w:szCs w:val="18"/>
        </w:rPr>
        <w:t>和学校在校外统一租用的非学校产权的床位数。</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3</w:t>
      </w:r>
      <w:r>
        <w:rPr>
          <w:rFonts w:hint="eastAsia" w:ascii="宋体" w:hAnsi="宋体"/>
          <w:sz w:val="18"/>
          <w:szCs w:val="18"/>
        </w:rPr>
        <w:t>）临床教师是指学校附属医院中，具有副高级及以上专业技术职务并承担教学任务的临床医务工作者。</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14）上学年参加国家学生体质健康标准测试人数是指根据《国家学生体质健康标准（2014年修订）》的通知（教体艺〔2014〕5号），要求学校每年对学生进行一次《国家学生体质健康标准》的测试，学年总分由标准分与附加分之和构成，满分为120分。标准分由各单项指标得分与权重乘积之和组成，满分为100分。根据学生学年总分评定等级：90.0分及以上为优秀，80.0～89.9分为良好，60.0～79.9分为及格，59.9分及以下为不及格。</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15）上学年全日制在校生短期出国校际交流人数是指普通高校派出全日制在校生到与之有校际交流合作协议的国外大学开展为期三个月或以下的交流学习。</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16）博物馆是指由具有独立法人资格的高校主管并批准设立的，隶属于各高校的内设机构；或由高校主管的具有独立法人资格的机构。收藏、研究和展示人类的物质与非物质遗产及其环境，并开展公共教育活动，体现各高校自身的主干专业特色或历史特色，基于高校所收藏的文物、标本、文献资料等文化财产，具有固定的专业场所，不以营利为目的，面向高校师生及社会公众开放、服务于社会的公益性机构。位于大学校区内的重要历史、文化、教育建筑遗址，以及名家名师故居，可以作为博物馆保护和展览的延伸空间。校史馆不属于高校博物馆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7）美术馆是指由具有独立法人资格的高校（主要为艺术高校）主管并批准设立的，隶属于各高校的内设机构，或由高校主管的具有独立法人资格的机构。收藏、研究和展示美术与设计作品，开展相关的公共教育活动，具有固定的专业场所，不以营利为目的，面向高校师生及社会公众开放、服务于社会的公益性美术馆。</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18）音乐厅和剧场是指由具有独立法人资格的高校主管并批准设立，建在校园内，主要服务于全体学生的艺术教育及校园文化活动。具有固定的座席布局、观众厅容积（大于700个座位）、舞台区域和较固定的声、光学特性，具备一定的专业灯光、音响及舞台技术条件，能够满足音乐、舞蹈、戏剧、戏曲等表演需求的独立场所。不以营利为目的，面向高校师生及社会公众开放、服务于社会的公益性音乐厅和剧场。各类体育场馆、多功能厅不属于此范畴。</w:t>
      </w:r>
    </w:p>
    <w:p>
      <w:pPr>
        <w:spacing w:line="240" w:lineRule="exact"/>
        <w:ind w:firstLine="360" w:firstLineChars="200"/>
        <w:rPr>
          <w:rFonts w:ascii="宋体" w:hAnsi="宋体"/>
          <w:sz w:val="18"/>
          <w:szCs w:val="18"/>
        </w:rPr>
      </w:pPr>
      <w:r>
        <w:rPr>
          <w:rFonts w:hint="eastAsia" w:ascii="宋体" w:hAnsi="宋体"/>
          <w:sz w:val="18"/>
          <w:szCs w:val="18"/>
        </w:rPr>
        <w:t>（1</w:t>
      </w:r>
      <w:r>
        <w:rPr>
          <w:rFonts w:ascii="宋体" w:hAnsi="宋体"/>
          <w:sz w:val="18"/>
          <w:szCs w:val="18"/>
        </w:rPr>
        <w:t>9）学校附属医院是指在省级以上教育、卫生行政部门批准备案或省级以上编制部门批准为附属医院的医疗机构，承担1个以上专业的全程临床教育教学任务。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20）</w:t>
      </w:r>
      <w:r>
        <w:rPr>
          <w:rFonts w:hint="eastAsia" w:ascii="宋体" w:hAnsi="宋体"/>
          <w:sz w:val="18"/>
          <w:szCs w:val="18"/>
        </w:rPr>
        <w:t>学校首席信息官（CIO）是指根据《教育信息化2.0行动计划》要求，设立的统筹管理教育信息化工作并参与学校相关决策的重要领导。</w:t>
      </w:r>
    </w:p>
    <w:p>
      <w:pPr>
        <w:spacing w:line="240" w:lineRule="exact"/>
        <w:ind w:firstLine="360" w:firstLineChars="200"/>
        <w:rPr>
          <w:rFonts w:ascii="宋体" w:hAnsi="宋体"/>
          <w:sz w:val="18"/>
          <w:szCs w:val="18"/>
        </w:rPr>
      </w:pPr>
      <w:r>
        <w:rPr>
          <w:rFonts w:hint="eastAsia" w:ascii="宋体" w:hAnsi="宋体"/>
          <w:sz w:val="18"/>
          <w:szCs w:val="18"/>
        </w:rPr>
        <w:t>（2</w:t>
      </w:r>
      <w:r>
        <w:rPr>
          <w:rFonts w:ascii="宋体" w:hAnsi="宋体"/>
          <w:sz w:val="18"/>
          <w:szCs w:val="18"/>
        </w:rPr>
        <w:t>1）预防艾滋病教育和性教育相关课程和活动是指通过在</w:t>
      </w:r>
      <w:r>
        <w:rPr>
          <w:rFonts w:hint="eastAsia" w:ascii="宋体" w:hAnsi="宋体"/>
          <w:sz w:val="18"/>
          <w:szCs w:val="18"/>
        </w:rPr>
        <w:t>高等</w:t>
      </w:r>
      <w:r>
        <w:rPr>
          <w:rFonts w:ascii="宋体" w:hAnsi="宋体"/>
          <w:sz w:val="18"/>
          <w:szCs w:val="18"/>
        </w:rPr>
        <w:t>教育学校开设健康教育相</w:t>
      </w:r>
      <w:r>
        <w:rPr>
          <w:rFonts w:hint="eastAsia" w:ascii="宋体" w:hAnsi="宋体"/>
          <w:sz w:val="18"/>
          <w:szCs w:val="18"/>
        </w:rPr>
        <w:t>关课程，或者利用综合实践活动和地方课程等多途径、多形式向学生传授预防艾滋病和性教育的知识和技能。</w:t>
      </w:r>
    </w:p>
    <w:p>
      <w:pPr>
        <w:spacing w:line="240" w:lineRule="exact"/>
        <w:rPr>
          <w:rFonts w:ascii="宋体" w:hAnsi="宋体"/>
          <w:sz w:val="18"/>
          <w:szCs w:val="18"/>
        </w:rPr>
      </w:pPr>
      <w:r>
        <w:rPr>
          <w:rFonts w:ascii="宋体" w:hAnsi="宋体"/>
          <w:sz w:val="18"/>
          <w:szCs w:val="18"/>
        </w:rPr>
        <w:t>3.填报说明：</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1）硕士、博士学位授权一级学科点填法：如果学校</w:t>
      </w:r>
      <w:r>
        <w:rPr>
          <w:rFonts w:hint="eastAsia" w:ascii="宋体" w:hAnsi="宋体"/>
          <w:sz w:val="18"/>
          <w:szCs w:val="18"/>
        </w:rPr>
        <w:t>同时具有</w:t>
      </w:r>
      <w:r>
        <w:rPr>
          <w:rFonts w:ascii="宋体" w:hAnsi="宋体"/>
          <w:sz w:val="18"/>
          <w:szCs w:val="18"/>
        </w:rPr>
        <w:t>0201哲学一级学科博士</w:t>
      </w:r>
      <w:r>
        <w:rPr>
          <w:rFonts w:hint="eastAsia" w:ascii="宋体" w:hAnsi="宋体"/>
          <w:sz w:val="18"/>
          <w:szCs w:val="18"/>
        </w:rPr>
        <w:t>和硕士授予权，那么硕士、博士学位授权一级学科点各填</w:t>
      </w:r>
      <w:r>
        <w:rPr>
          <w:rFonts w:ascii="宋体" w:hAnsi="宋体"/>
          <w:sz w:val="18"/>
          <w:szCs w:val="18"/>
        </w:rPr>
        <w:t>1个；如果</w:t>
      </w:r>
      <w:r>
        <w:rPr>
          <w:rFonts w:hint="eastAsia" w:ascii="宋体" w:hAnsi="宋体"/>
          <w:sz w:val="18"/>
          <w:szCs w:val="18"/>
        </w:rPr>
        <w:t>只有</w:t>
      </w:r>
      <w:r>
        <w:rPr>
          <w:rFonts w:ascii="宋体" w:hAnsi="宋体"/>
          <w:sz w:val="18"/>
          <w:szCs w:val="18"/>
        </w:rPr>
        <w:t>0201哲学一级学科硕士授予权，硕士学位授权一级学科点填1个，博士学位授权一级学科点不填；</w:t>
      </w:r>
      <w:r>
        <w:rPr>
          <w:rFonts w:hint="eastAsia" w:ascii="宋体" w:hAnsi="宋体"/>
          <w:sz w:val="18"/>
          <w:szCs w:val="18"/>
        </w:rPr>
        <w:t>同时该学科覆盖的硕士、博士学位授权二级学科点不填。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2）硕士、博士学位授权二级学科点填法：如果学校</w:t>
      </w:r>
      <w:r>
        <w:rPr>
          <w:rFonts w:hint="eastAsia" w:ascii="宋体" w:hAnsi="宋体"/>
          <w:sz w:val="18"/>
          <w:szCs w:val="18"/>
        </w:rPr>
        <w:t>同时具有</w:t>
      </w:r>
      <w:r>
        <w:rPr>
          <w:rFonts w:ascii="宋体" w:hAnsi="宋体"/>
          <w:sz w:val="18"/>
          <w:szCs w:val="18"/>
        </w:rPr>
        <w:t>010101马克思主义哲学、010102中国哲学两个二级学科博士</w:t>
      </w:r>
      <w:r>
        <w:rPr>
          <w:rFonts w:hint="eastAsia" w:ascii="宋体" w:hAnsi="宋体"/>
          <w:sz w:val="18"/>
          <w:szCs w:val="18"/>
        </w:rPr>
        <w:t>和硕士学位授予权，硕士、博士学位授权二级学科点各填</w:t>
      </w:r>
      <w:r>
        <w:rPr>
          <w:rFonts w:ascii="宋体" w:hAnsi="宋体"/>
          <w:sz w:val="18"/>
          <w:szCs w:val="18"/>
        </w:rPr>
        <w:t>2个；如果学校只具有010101马克思主义哲学、010102中国哲学两个二级学科硕士学位授予权，硕士</w:t>
      </w:r>
      <w:r>
        <w:rPr>
          <w:rFonts w:hint="eastAsia" w:ascii="宋体" w:hAnsi="宋体"/>
          <w:sz w:val="18"/>
          <w:szCs w:val="18"/>
        </w:rPr>
        <w:t>学</w:t>
      </w:r>
      <w:r>
        <w:rPr>
          <w:rFonts w:ascii="宋体" w:hAnsi="宋体"/>
          <w:sz w:val="18"/>
          <w:szCs w:val="18"/>
        </w:rPr>
        <w:t>位授权二级学科点填2个，博士学位授权二级学科点不填；硕士、博士学位授权一级学科点不填。</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3）中国科学院院士、中国工程院院士统计人事关系在本校的院士，对既是中国科学院院士又是中国工程院院士的要分别统计。</w:t>
      </w:r>
    </w:p>
    <w:p>
      <w:pPr>
        <w:tabs>
          <w:tab w:val="left" w:pos="567"/>
        </w:tabs>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4）安全保卫人员包括</w:t>
      </w:r>
      <w:r>
        <w:rPr>
          <w:rFonts w:hint="eastAsia" w:ascii="宋体" w:hAnsi="宋体"/>
          <w:sz w:val="18"/>
          <w:szCs w:val="18"/>
        </w:rPr>
        <w:t>主要从事安全保卫工作的校内职工、临时工、外聘保安公司人员等。</w:t>
      </w:r>
    </w:p>
    <w:p>
      <w:pPr>
        <w:spacing w:line="240" w:lineRule="exact"/>
        <w:rPr>
          <w:rFonts w:ascii="宋体" w:hAnsi="宋体"/>
          <w:sz w:val="18"/>
          <w:szCs w:val="18"/>
        </w:rPr>
      </w:pPr>
      <w:r>
        <w:rPr>
          <w:rFonts w:ascii="宋体" w:hAnsi="宋体"/>
          <w:sz w:val="18"/>
          <w:szCs w:val="18"/>
        </w:rPr>
        <w:t>4.</w:t>
      </w:r>
      <w:r>
        <w:rPr>
          <w:rFonts w:hint="eastAsia" w:ascii="宋体" w:hAnsi="宋体"/>
          <w:sz w:val="18"/>
          <w:szCs w:val="18"/>
        </w:rPr>
        <w:t>审核关系：</w:t>
      </w:r>
    </w:p>
    <w:p>
      <w:pPr>
        <w:spacing w:line="240" w:lineRule="exact"/>
        <w:ind w:firstLine="360" w:firstLineChars="200"/>
        <w:rPr>
          <w:rFonts w:ascii="宋体" w:hAnsi="宋体"/>
          <w:sz w:val="18"/>
          <w:szCs w:val="18"/>
        </w:rPr>
      </w:pPr>
      <w:r>
        <w:rPr>
          <w:rFonts w:hint="eastAsia" w:ascii="宋体" w:hAnsi="宋体"/>
          <w:sz w:val="18"/>
          <w:szCs w:val="18"/>
        </w:rPr>
        <w:t>（1）行13=行14+行15+行16；</w:t>
      </w:r>
    </w:p>
    <w:p>
      <w:pPr>
        <w:spacing w:line="240" w:lineRule="exact"/>
        <w:ind w:firstLine="360" w:firstLineChars="200"/>
        <w:rPr>
          <w:rFonts w:ascii="宋体" w:hAnsi="宋体"/>
          <w:sz w:val="18"/>
          <w:szCs w:val="18"/>
        </w:rPr>
      </w:pPr>
      <w:r>
        <w:rPr>
          <w:rFonts w:hint="eastAsia" w:ascii="宋体" w:hAnsi="宋体"/>
          <w:sz w:val="18"/>
          <w:szCs w:val="18"/>
        </w:rPr>
        <w:t>（2）行17=行18+行19+行20；</w:t>
      </w:r>
    </w:p>
    <w:p>
      <w:pPr>
        <w:spacing w:line="240" w:lineRule="exact"/>
        <w:ind w:firstLine="360" w:firstLineChars="200"/>
        <w:rPr>
          <w:rFonts w:ascii="宋体" w:hAnsi="宋体"/>
          <w:sz w:val="18"/>
          <w:szCs w:val="18"/>
        </w:rPr>
      </w:pPr>
      <w:r>
        <w:rPr>
          <w:rFonts w:hint="eastAsia" w:ascii="宋体" w:hAnsi="宋体"/>
          <w:sz w:val="18"/>
          <w:szCs w:val="18"/>
        </w:rPr>
        <w:t>（3）行21=行22+行23+行24；</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4）行29=行30+行31+行32+行33</w:t>
      </w:r>
      <w:r>
        <w:rPr>
          <w:rFonts w:hint="eastAsia" w:ascii="宋体" w:hAnsi="宋体"/>
          <w:sz w:val="18"/>
          <w:szCs w:val="18"/>
        </w:rPr>
        <w:t>；</w:t>
      </w:r>
    </w:p>
    <w:p>
      <w:pPr>
        <w:spacing w:line="240" w:lineRule="exact"/>
        <w:ind w:firstLine="360" w:firstLineChars="200"/>
        <w:rPr>
          <w:rFonts w:ascii="宋体" w:hAnsi="宋体"/>
          <w:sz w:val="18"/>
          <w:szCs w:val="18"/>
        </w:rPr>
      </w:pPr>
      <w:r>
        <w:rPr>
          <w:rFonts w:hint="eastAsia" w:ascii="宋体" w:hAnsi="宋体"/>
          <w:sz w:val="18"/>
          <w:szCs w:val="18"/>
        </w:rPr>
        <w:t>（</w:t>
      </w:r>
      <w:r>
        <w:rPr>
          <w:rFonts w:ascii="宋体" w:hAnsi="宋体"/>
          <w:sz w:val="18"/>
          <w:szCs w:val="18"/>
        </w:rPr>
        <w:t>5）行34=行35+行36</w:t>
      </w:r>
      <w:r>
        <w:rPr>
          <w:rFonts w:hint="eastAsia" w:ascii="宋体" w:hAnsi="宋体"/>
          <w:sz w:val="18"/>
          <w:szCs w:val="18"/>
        </w:rPr>
        <w:t>；</w:t>
      </w:r>
    </w:p>
    <w:p>
      <w:pPr>
        <w:spacing w:line="240" w:lineRule="exact"/>
        <w:ind w:firstLine="360" w:firstLineChars="200"/>
        <w:rPr>
          <w:rFonts w:hint="default" w:eastAsia="宋体"/>
          <w:lang w:val="en-US" w:eastAsia="zh-CN"/>
        </w:rPr>
      </w:pPr>
      <w:r>
        <w:rPr>
          <w:rFonts w:hint="eastAsia" w:ascii="宋体" w:hAnsi="宋体"/>
          <w:sz w:val="18"/>
          <w:szCs w:val="18"/>
        </w:rPr>
        <w:t>（</w:t>
      </w:r>
      <w:r>
        <w:rPr>
          <w:rFonts w:ascii="宋体" w:hAnsi="宋体"/>
          <w:sz w:val="18"/>
          <w:szCs w:val="18"/>
        </w:rPr>
        <w:t>6）行37=行38+行39+行40+行41</w:t>
      </w:r>
      <w:r>
        <w:rPr>
          <w:rFonts w:hint="eastAsia" w:ascii="宋体" w:hAnsi="宋体"/>
          <w:sz w:val="18"/>
          <w:szCs w:val="18"/>
        </w:rPr>
        <w:t>。</w:t>
      </w:r>
      <w:bookmarkEnd w:id="11"/>
      <w:bookmarkStart w:id="12" w:name="_GoBack"/>
      <w:bookmarkEnd w:id="12"/>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center"/>
      <w:rPr>
        <w:sz w:val="24"/>
      </w:rPr>
    </w:pPr>
    <w:r>
      <w:rPr>
        <w:sz w:val="24"/>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3"/>
                      <w:jc w:val="center"/>
                    </w:pPr>
                    <w:r>
                      <w:rPr>
                        <w:sz w:val="24"/>
                      </w:rPr>
                      <w:fldChar w:fldCharType="begin"/>
                    </w:r>
                    <w:r>
                      <w:rPr>
                        <w:sz w:val="24"/>
                      </w:rPr>
                      <w:instrText xml:space="preserve">PAGE   \* MERGEFORMAT</w:instrText>
                    </w:r>
                    <w:r>
                      <w:rPr>
                        <w:sz w:val="24"/>
                      </w:rPr>
                      <w:fldChar w:fldCharType="separate"/>
                    </w:r>
                    <w:r>
                      <w:rPr>
                        <w:sz w:val="24"/>
                      </w:rPr>
                      <w:t>44</w:t>
                    </w:r>
                    <w:r>
                      <w:rPr>
                        <w:sz w:val="24"/>
                      </w:rPr>
                      <w:fldChar w:fldCharType="end"/>
                    </w:r>
                  </w:p>
                </w:txbxContent>
              </v:textbox>
            </v:shape>
          </w:pict>
        </mc:Fallback>
      </mc:AlternateContent>
    </w:r>
  </w:p>
  <w:p>
    <w:pPr>
      <w:pStyle w:val="3"/>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9"/>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1MGI3M2M2NmFhNDU1Mjg3ZTBkYjA4ZGJlMTU4MjkifQ=="/>
  </w:docVars>
  <w:rsids>
    <w:rsidRoot w:val="16C91583"/>
    <w:rsid w:val="04663454"/>
    <w:rsid w:val="0FA72444"/>
    <w:rsid w:val="16C91583"/>
    <w:rsid w:val="18F969B7"/>
    <w:rsid w:val="3776228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0"/>
    <w:rPr>
      <w:rFonts w:ascii="宋体" w:hAnsi="Courier New"/>
      <w:szCs w:val="21"/>
    </w:rPr>
  </w:style>
  <w:style w:type="paragraph" w:styleId="3">
    <w:name w:val="footer"/>
    <w:basedOn w:val="1"/>
    <w:qFormat/>
    <w:uiPriority w:val="99"/>
    <w:pPr>
      <w:tabs>
        <w:tab w:val="center" w:pos="4153"/>
        <w:tab w:val="right" w:pos="8306"/>
      </w:tabs>
      <w:snapToGrid w:val="0"/>
      <w:jc w:val="left"/>
    </w:pPr>
    <w:rPr>
      <w:sz w:val="18"/>
      <w:szCs w:val="18"/>
    </w:rPr>
  </w:style>
  <w:style w:type="paragraph" w:styleId="4">
    <w:name w:val="Subtitle"/>
    <w:basedOn w:val="1"/>
    <w:next w:val="1"/>
    <w:qFormat/>
    <w:uiPriority w:val="0"/>
    <w:pPr>
      <w:spacing w:before="240" w:after="60" w:line="312" w:lineRule="auto"/>
      <w:jc w:val="center"/>
      <w:outlineLvl w:val="1"/>
    </w:pPr>
    <w:rPr>
      <w:rFonts w:ascii="Cambria" w:hAnsi="Cambria"/>
      <w:bCs/>
      <w:kern w:val="28"/>
      <w:sz w:val="32"/>
      <w:szCs w:val="3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6876</Words>
  <Characters>7143</Characters>
  <Lines>0</Lines>
  <Paragraphs>0</Paragraphs>
  <TotalTime>0</TotalTime>
  <ScaleCrop>false</ScaleCrop>
  <LinksUpToDate>false</LinksUpToDate>
  <CharactersWithSpaces>7162</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2022-09-22T08:50:00Z</dcterms:created>
  <dc:creator>Lenovo</dc:creator>
  <cp:lastModifiedBy>Lenovo</cp:lastModifiedBy>
  <dcterms:modified xsi:type="dcterms:W3CDTF">2022-09-27T01:53:30Z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DAF0CC4D9B2649AAA4BD2F14FC28AE90</vt:lpwstr>
  </property>
</Properties>
</file>