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rPr>
      </w:pPr>
      <w:bookmarkStart w:id="0" w:name="_Toc111121738"/>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1"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2" w:name="_Hlk74235924"/>
      <w:r>
        <w:rPr>
          <w:rFonts w:hint="eastAsia" w:ascii="宋体" w:hAnsi="宋体"/>
          <w:kern w:val="0"/>
        </w:rPr>
        <w:t>通过教育统计管理信息系统</w:t>
      </w:r>
      <w:bookmarkEnd w:id="2"/>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1"/>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3" w:name="_Hlk74236703"/>
      <w:r>
        <w:rPr>
          <w:rFonts w:hint="eastAsia"/>
        </w:rPr>
        <w:t>《各级各类学校基本建设完成情况表》</w:t>
      </w:r>
      <w:bookmarkEnd w:id="3"/>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4"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4"/>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5" w:name="_Hlk74239817"/>
      <w:r>
        <w:rPr>
          <w:rFonts w:hint="eastAsia" w:ascii="宋体" w:hAnsi="宋体"/>
          <w:kern w:val="0"/>
        </w:rPr>
        <w:t>教育统计管理信息系统</w:t>
      </w:r>
      <w:bookmarkEnd w:id="5"/>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6"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6"/>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7"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8" w:name="_Hlk76992503"/>
      <w:r>
        <w:rPr>
          <w:rFonts w:hint="eastAsia" w:ascii="宋体" w:hAnsi="宋体"/>
          <w:kern w:val="0"/>
        </w:rPr>
        <w:t>上报数据应按照会议制度集体讨论决定，并留存相应会议纪要，最终经单位负责人签字确认</w:t>
      </w:r>
      <w:bookmarkEnd w:id="8"/>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7"/>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9"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9"/>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ascii="黑体" w:eastAsia="黑体"/>
        </w:rPr>
      </w:pPr>
      <w:r>
        <w:rPr>
          <w:rFonts w:hint="eastAsia"/>
        </w:rPr>
        <w:t>本调查制度使用本部门基本单位名录库。</w:t>
      </w:r>
    </w:p>
    <w:p>
      <w:pPr>
        <w:pStyle w:val="4"/>
        <w:rPr>
          <w:rFonts w:ascii="宋体" w:hAnsi="宋体"/>
        </w:rPr>
      </w:pPr>
      <w:r>
        <w:rPr>
          <w:rFonts w:ascii="黑体" w:eastAsia="黑体"/>
        </w:rPr>
        <w:br w:type="page"/>
      </w:r>
      <w:bookmarkStart w:id="10" w:name="_Toc111121742"/>
      <w:bookmarkStart w:id="11" w:name="_Hlk106010392"/>
      <w:r>
        <w:rPr>
          <w:rFonts w:hint="eastAsia" w:ascii="宋体" w:hAnsi="宋体"/>
          <w:szCs w:val="28"/>
        </w:rPr>
        <w:t>（</w:t>
      </w:r>
      <w:r>
        <w:rPr>
          <w:rFonts w:hint="eastAsia" w:ascii="宋体" w:hAnsi="宋体"/>
        </w:rPr>
        <w:t>四）高等教育学校基本情况</w:t>
      </w:r>
      <w:bookmarkEnd w:id="10"/>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w:t>
      </w:r>
      <w:r>
        <w:rPr>
          <w:rFonts w:hint="eastAsia" w:ascii="宋体" w:hAnsi="宋体" w:cs="宋体"/>
          <w:sz w:val="18"/>
          <w:szCs w:val="18"/>
        </w:rPr>
        <w:t>国统制〔2021〕</w:t>
      </w:r>
      <w:r>
        <w:rPr>
          <w:rFonts w:hint="eastAsia" w:ascii="宋体" w:hAnsi="宋体"/>
          <w:sz w:val="18"/>
          <w:szCs w:val="18"/>
        </w:rPr>
        <w:t>135</w:t>
      </w:r>
      <w:r>
        <w:rPr>
          <w:rFonts w:hint="eastAsia" w:ascii="宋体" w:hAnsi="宋体" w:cs="宋体"/>
          <w:sz w:val="18"/>
          <w:szCs w:val="18"/>
        </w:rPr>
        <w:t>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tbl>
      <w:tblPr>
        <w:tblStyle w:val="5"/>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18"/>
        <w:gridCol w:w="814"/>
        <w:gridCol w:w="462"/>
        <w:gridCol w:w="1136"/>
        <w:gridCol w:w="1852"/>
        <w:gridCol w:w="1793"/>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2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40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27"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10"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96" w:hRule="exact"/>
        </w:trPr>
        <w:tc>
          <w:tcPr>
            <w:tcW w:w="202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预科注册学生数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1）一流学科数量是指经省级以上教育行政部门认定的一流学科。</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hint="eastAsia" w:ascii="宋体" w:hAnsi="宋体"/>
          <w:sz w:val="18"/>
          <w:szCs w:val="18"/>
        </w:rPr>
        <w:t>如高等职业教育专科学生取得本科层次教育录取通知书，普通本科学生取得研究生层次录取通知书。</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10）专业数是指经省级以上教育行政部门</w:t>
      </w:r>
      <w:r>
        <w:rPr>
          <w:rFonts w:hint="eastAsia" w:ascii="宋体" w:hAnsi="宋体"/>
          <w:sz w:val="18"/>
          <w:szCs w:val="18"/>
        </w:rPr>
        <w:t>审批和备案的专业数，不包括成人、网络教育的专业数。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学校首席信息官（CIO）是指根据《教育信息化2.0行动计划》要求，设立的统筹管理教育信息化工作并参与学校相关决策的重要领导。</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1）预防艾滋病教育和性教育相关课程和活动是指通过在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主要从事安全保卫工作的校内职工、临时工、外聘保安公司人员等。</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（1）行13=行14+行15+行16；</w:t>
      </w:r>
    </w:p>
    <w:p>
      <w:pPr>
        <w:spacing w:line="240" w:lineRule="exact"/>
        <w:ind w:firstLine="360" w:firstLineChars="200"/>
        <w:rPr>
          <w:rFonts w:ascii="宋体" w:hAnsi="宋体"/>
          <w:sz w:val="18"/>
          <w:szCs w:val="18"/>
        </w:rPr>
      </w:pPr>
      <w:r>
        <w:rPr>
          <w:rFonts w:hint="eastAsia" w:ascii="宋体" w:hAnsi="宋体"/>
          <w:sz w:val="18"/>
          <w:szCs w:val="18"/>
        </w:rPr>
        <w:t>（2）行17=行18+行19+行20；</w:t>
      </w:r>
    </w:p>
    <w:p>
      <w:pPr>
        <w:spacing w:line="240" w:lineRule="exact"/>
        <w:ind w:firstLine="360" w:firstLineChars="200"/>
        <w:rPr>
          <w:rFonts w:ascii="宋体" w:hAnsi="宋体"/>
          <w:sz w:val="18"/>
          <w:szCs w:val="18"/>
        </w:rPr>
      </w:pPr>
      <w:r>
        <w:rPr>
          <w:rFonts w:hint="eastAsia" w:ascii="宋体" w:hAnsi="宋体"/>
          <w:sz w:val="18"/>
          <w:szCs w:val="18"/>
        </w:rPr>
        <w:t>（3）行21=行22+行23+行24；</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4）行29=行30+行31+行32+行33</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5）行34=行35+行36</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6）行37=行38+行39+行40+行41</w:t>
      </w:r>
      <w:r>
        <w:rPr>
          <w:rFonts w:hint="eastAsia" w:ascii="宋体" w:hAnsi="宋体"/>
          <w:sz w:val="18"/>
          <w:szCs w:val="18"/>
        </w:rPr>
        <w:t>。</w:t>
      </w:r>
    </w:p>
    <w:p>
      <w:pPr>
        <w:spacing w:line="240" w:lineRule="exact"/>
        <w:ind w:firstLine="360" w:firstLineChars="200"/>
        <w:rPr>
          <w:rFonts w:ascii="宋体" w:hAnsi="宋体"/>
          <w:sz w:val="18"/>
        </w:rPr>
      </w:pPr>
    </w:p>
    <w:bookmarkEnd w:id="11"/>
    <w:p>
      <w:pPr>
        <w:widowControl/>
        <w:jc w:val="left"/>
        <w:rPr>
          <w:rFonts w:ascii="宋体" w:hAnsi="宋体"/>
          <w:sz w:val="18"/>
          <w:szCs w:val="18"/>
        </w:rPr>
      </w:pPr>
      <w:r>
        <w:rPr>
          <w:rFonts w:ascii="宋体" w:hAnsi="宋体"/>
          <w:sz w:val="18"/>
          <w:szCs w:val="18"/>
        </w:rPr>
        <w:br w:type="page"/>
      </w:r>
    </w:p>
    <w:p>
      <w:pPr>
        <w:pStyle w:val="4"/>
        <w:rPr>
          <w:rFonts w:ascii="宋体" w:hAnsi="宋体"/>
        </w:rPr>
      </w:pPr>
      <w:bookmarkStart w:id="12" w:name="_Toc111121815"/>
      <w:bookmarkStart w:id="13" w:name="_Hlk106092499"/>
      <w:r>
        <w:rPr>
          <w:rFonts w:hint="eastAsia" w:ascii="宋体" w:hAnsi="宋体"/>
        </w:rPr>
        <w:t>（七十七）职业教育学校、高等教育学校资产等办学条件</w:t>
      </w:r>
      <w:bookmarkEnd w:id="12"/>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教基5</w:t>
      </w:r>
      <w:r>
        <w:rPr>
          <w:rFonts w:ascii="宋体" w:hAnsi="宋体" w:cs="宋体"/>
          <w:kern w:val="0"/>
          <w:sz w:val="18"/>
          <w:szCs w:val="18"/>
        </w:rPr>
        <w:t>3</w:t>
      </w:r>
      <w:r>
        <w:rPr>
          <w:rFonts w:hint="eastAsia" w:ascii="宋体" w:hAnsi="宋体" w:cs="宋体"/>
          <w:kern w:val="0"/>
          <w:sz w:val="18"/>
          <w:szCs w:val="18"/>
        </w:rPr>
        <w:t>77</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[2021]135号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2024</w:t>
      </w:r>
      <w:r>
        <w:rPr>
          <w:rFonts w:hint="eastAsia" w:ascii="宋体" w:hAnsi="宋体"/>
          <w:bCs/>
          <w:sz w:val="18"/>
          <w:szCs w:val="18"/>
          <w:lang w:val="zh-CN"/>
        </w:rPr>
        <w:t>年1</w:t>
      </w:r>
      <w:r>
        <w:rPr>
          <w:rFonts w:ascii="宋体" w:hAnsi="宋体"/>
          <w:bCs/>
          <w:sz w:val="18"/>
          <w:szCs w:val="18"/>
          <w:lang w:val="zh-CN"/>
        </w:rPr>
        <w:t>1</w:t>
      </w:r>
      <w:r>
        <w:rPr>
          <w:rFonts w:ascii="宋体" w:hAnsi="宋体"/>
          <w:bCs/>
          <w:sz w:val="18"/>
          <w:szCs w:val="18"/>
        </w:rPr>
        <w:t xml:space="preserve"> </w:t>
      </w:r>
      <w:r>
        <w:rPr>
          <w:rFonts w:hint="eastAsia" w:ascii="宋体" w:hAnsi="宋体"/>
          <w:bCs/>
          <w:sz w:val="18"/>
          <w:szCs w:val="18"/>
          <w:lang w:val="zh-CN"/>
        </w:rPr>
        <w:t>月</w:t>
      </w:r>
    </w:p>
    <w:tbl>
      <w:tblPr>
        <w:tblStyle w:val="5"/>
        <w:tblpPr w:leftFromText="180" w:rightFromText="180" w:vertAnchor="text" w:tblpY="1"/>
        <w:tblOverlap w:val="never"/>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983"/>
        <w:gridCol w:w="1000"/>
        <w:gridCol w:w="694"/>
        <w:gridCol w:w="961"/>
        <w:gridCol w:w="961"/>
        <w:gridCol w:w="961"/>
        <w:gridCol w:w="96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58" w:hRule="atLeast"/>
        </w:trPr>
        <w:tc>
          <w:tcPr>
            <w:tcW w:w="1750" w:type="pct"/>
            <w:vMerge w:val="restart"/>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指标名称</w:t>
            </w:r>
          </w:p>
        </w:tc>
        <w:tc>
          <w:tcPr>
            <w:tcW w:w="587"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计量单位</w:t>
            </w:r>
          </w:p>
        </w:tc>
        <w:tc>
          <w:tcPr>
            <w:tcW w:w="407" w:type="pct"/>
            <w:vMerge w:val="restar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代码</w:t>
            </w:r>
          </w:p>
        </w:tc>
        <w:tc>
          <w:tcPr>
            <w:tcW w:w="564"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学校产权</w:t>
            </w:r>
          </w:p>
        </w:tc>
        <w:tc>
          <w:tcPr>
            <w:tcW w:w="564" w:type="pct"/>
            <w:vMerge w:val="restart"/>
            <w:tcBorders>
              <w:right w:val="nil"/>
            </w:tcBorders>
            <w:vAlign w:val="center"/>
          </w:tcPr>
          <w:p>
            <w:pPr>
              <w:widowControl/>
              <w:jc w:val="center"/>
              <w:rPr>
                <w:rFonts w:ascii="宋体" w:hAnsi="宋体" w:cs="宋体"/>
                <w:bCs/>
                <w:kern w:val="0"/>
                <w:sz w:val="18"/>
                <w:szCs w:val="18"/>
              </w:rPr>
            </w:pPr>
            <w:r>
              <w:rPr>
                <w:rFonts w:hint="eastAsia" w:ascii="宋体" w:hAnsi="宋体" w:cs="宋体"/>
                <w:bCs/>
                <w:kern w:val="0"/>
                <w:sz w:val="18"/>
                <w:szCs w:val="18"/>
              </w:rPr>
              <w:t>非学校产权</w:t>
            </w:r>
          </w:p>
        </w:tc>
        <w:tc>
          <w:tcPr>
            <w:tcW w:w="564" w:type="pct"/>
            <w:tcBorders>
              <w:top w:val="single" w:color="auto" w:sz="8" w:space="0"/>
              <w:left w:val="nil"/>
              <w:bottom w:val="single" w:color="auto" w:sz="2" w:space="0"/>
              <w:right w:val="nil"/>
            </w:tcBorders>
            <w:vAlign w:val="center"/>
          </w:tcPr>
          <w:p>
            <w:pPr>
              <w:widowControl/>
              <w:jc w:val="center"/>
              <w:rPr>
                <w:rFonts w:ascii="宋体" w:hAnsi="宋体" w:cs="宋体"/>
                <w:bCs/>
                <w:kern w:val="0"/>
                <w:sz w:val="18"/>
                <w:szCs w:val="18"/>
              </w:rPr>
            </w:pPr>
          </w:p>
        </w:tc>
        <w:tc>
          <w:tcPr>
            <w:tcW w:w="564" w:type="pct"/>
            <w:tcBorders>
              <w:top w:val="single" w:color="auto" w:sz="8" w:space="0"/>
              <w:left w:val="nil"/>
              <w:bottom w:val="single" w:color="auto" w:sz="2" w:space="0"/>
            </w:tcBorders>
            <w:vAlign w:val="center"/>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58" w:hRule="atLeast"/>
        </w:trPr>
        <w:tc>
          <w:tcPr>
            <w:tcW w:w="1750"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587" w:type="pct"/>
            <w:vMerge w:val="continue"/>
            <w:vAlign w:val="center"/>
          </w:tcPr>
          <w:p>
            <w:pPr>
              <w:widowControl/>
              <w:spacing w:line="280" w:lineRule="exact"/>
              <w:jc w:val="center"/>
              <w:rPr>
                <w:rFonts w:ascii="宋体" w:hAnsi="宋体" w:cs="宋体"/>
                <w:bCs/>
                <w:kern w:val="0"/>
                <w:sz w:val="18"/>
                <w:szCs w:val="18"/>
              </w:rPr>
            </w:pPr>
          </w:p>
        </w:tc>
        <w:tc>
          <w:tcPr>
            <w:tcW w:w="407"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564" w:type="pct"/>
            <w:vMerge w:val="continue"/>
            <w:vAlign w:val="center"/>
          </w:tcPr>
          <w:p>
            <w:pPr>
              <w:widowControl/>
              <w:spacing w:line="280" w:lineRule="exact"/>
              <w:jc w:val="center"/>
              <w:rPr>
                <w:rFonts w:ascii="宋体" w:hAnsi="宋体" w:cs="宋体"/>
                <w:bCs/>
                <w:kern w:val="0"/>
                <w:sz w:val="18"/>
                <w:szCs w:val="18"/>
              </w:rPr>
            </w:pPr>
          </w:p>
        </w:tc>
        <w:tc>
          <w:tcPr>
            <w:tcW w:w="564" w:type="pct"/>
            <w:vMerge w:val="continue"/>
            <w:vAlign w:val="center"/>
          </w:tcPr>
          <w:p>
            <w:pPr>
              <w:widowControl/>
              <w:spacing w:line="280" w:lineRule="exact"/>
              <w:jc w:val="center"/>
              <w:rPr>
                <w:rFonts w:ascii="宋体" w:hAnsi="宋体" w:cs="宋体"/>
                <w:bCs/>
                <w:kern w:val="0"/>
                <w:sz w:val="18"/>
                <w:szCs w:val="18"/>
              </w:rPr>
            </w:pPr>
          </w:p>
        </w:tc>
        <w:tc>
          <w:tcPr>
            <w:tcW w:w="564" w:type="pct"/>
            <w:tcBorders>
              <w:top w:val="single" w:color="auto" w:sz="2" w:space="0"/>
              <w:bottom w:val="single" w:color="auto" w:sz="8"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独立使用</w:t>
            </w:r>
          </w:p>
        </w:tc>
        <w:tc>
          <w:tcPr>
            <w:tcW w:w="564" w:type="pct"/>
            <w:tcBorders>
              <w:top w:val="single" w:color="auto" w:sz="2"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共同使用</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甲</w:t>
            </w:r>
          </w:p>
        </w:tc>
        <w:tc>
          <w:tcPr>
            <w:tcW w:w="587"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乙</w:t>
            </w:r>
          </w:p>
        </w:tc>
        <w:tc>
          <w:tcPr>
            <w:tcW w:w="407" w:type="pct"/>
            <w:tcBorders>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丙</w:t>
            </w:r>
          </w:p>
        </w:tc>
        <w:tc>
          <w:tcPr>
            <w:tcW w:w="564"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1</w:t>
            </w:r>
          </w:p>
        </w:tc>
        <w:tc>
          <w:tcPr>
            <w:tcW w:w="564"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2</w:t>
            </w:r>
          </w:p>
        </w:tc>
        <w:tc>
          <w:tcPr>
            <w:tcW w:w="564" w:type="pct"/>
            <w:tcBorders>
              <w:top w:val="single" w:color="auto" w:sz="8"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3</w:t>
            </w:r>
          </w:p>
        </w:tc>
        <w:tc>
          <w:tcPr>
            <w:tcW w:w="564" w:type="pct"/>
            <w:tcBorders>
              <w:left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4</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bCs/>
                <w:kern w:val="0"/>
                <w:sz w:val="18"/>
                <w:szCs w:val="18"/>
              </w:rPr>
            </w:pPr>
            <w:r>
              <w:rPr>
                <w:rFonts w:hint="eastAsia" w:ascii="宋体" w:hAnsi="宋体"/>
                <w:sz w:val="18"/>
              </w:rPr>
              <w:t>占地面积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01</w:t>
            </w:r>
          </w:p>
        </w:tc>
        <w:tc>
          <w:tcPr>
            <w:tcW w:w="564" w:type="pct"/>
            <w:tcBorders>
              <w:top w:val="single" w:color="auto" w:sz="2" w:space="0"/>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绿化用地面积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运动场地面积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校园足球场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11</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05</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7</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06</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5</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07</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图书</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08</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当年新增</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09</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数字资源量</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电子图书</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10</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电子期刊</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11</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学位论文</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音视频</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小时</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职业教育仿真实训资源量</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仿真实验软件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15</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仿真实训软件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16</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仿真实习软件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17</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数字终端数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18</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#教师终端数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19</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#学生终端数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20</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教室</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间</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21</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网络多媒体教室</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间</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固定资产总值</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教学科研实习仪器设备资产值</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8" w:space="0"/>
              <w:right w:val="single" w:color="auto" w:sz="2" w:space="0"/>
            </w:tcBorders>
            <w:shd w:val="clear" w:color="auto" w:fill="auto"/>
            <w:vAlign w:val="center"/>
          </w:tcPr>
          <w:p>
            <w:pPr>
              <w:widowControl/>
              <w:spacing w:line="280" w:lineRule="exact"/>
              <w:ind w:firstLine="360" w:firstLineChars="200"/>
              <w:jc w:val="left"/>
              <w:rPr>
                <w:rFonts w:ascii="宋体" w:hAnsi="宋体"/>
                <w:sz w:val="18"/>
              </w:rPr>
            </w:pPr>
            <w:r>
              <w:rPr>
                <w:rFonts w:ascii="宋体" w:hAnsi="宋体"/>
                <w:sz w:val="18"/>
              </w:rPr>
              <w:t>#</w:t>
            </w:r>
            <w:r>
              <w:rPr>
                <w:rFonts w:hint="eastAsia" w:ascii="宋体" w:hAnsi="宋体"/>
                <w:sz w:val="18"/>
              </w:rPr>
              <w:t>当年新增</w:t>
            </w:r>
          </w:p>
        </w:tc>
        <w:tc>
          <w:tcPr>
            <w:tcW w:w="587" w:type="pct"/>
            <w:tcBorders>
              <w:top w:val="single" w:color="auto" w:sz="2" w:space="0"/>
              <w:left w:val="single" w:color="auto" w:sz="2" w:space="0"/>
              <w:bottom w:val="single" w:color="auto" w:sz="8"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8"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25</w:t>
            </w:r>
          </w:p>
        </w:tc>
        <w:tc>
          <w:tcPr>
            <w:tcW w:w="564" w:type="pct"/>
            <w:tcBorders>
              <w:top w:val="nil"/>
              <w:left w:val="single" w:color="auto" w:sz="2" w:space="0"/>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tcBorders>
          </w:tcPr>
          <w:p>
            <w:pPr>
              <w:widowControl/>
              <w:spacing w:line="280" w:lineRule="exact"/>
              <w:jc w:val="center"/>
              <w:rPr>
                <w:rFonts w:ascii="宋体" w:hAnsi="宋体" w:cs="宋体"/>
                <w:bCs/>
                <w:kern w:val="0"/>
                <w:sz w:val="18"/>
                <w:szCs w:val="18"/>
              </w:rPr>
            </w:pPr>
          </w:p>
        </w:tc>
      </w:tr>
    </w:tbl>
    <w:p>
      <w:pPr>
        <w:spacing w:line="240" w:lineRule="exact"/>
        <w:ind w:right="-800" w:rightChars="-381"/>
        <w:rPr>
          <w:rFonts w:ascii="宋体" w:hAnsi="宋体"/>
          <w:sz w:val="18"/>
          <w:szCs w:val="18"/>
        </w:rPr>
      </w:pPr>
      <w:r>
        <w:rPr>
          <w:rFonts w:hint="eastAsia" w:ascii="宋体" w:hAnsi="宋体"/>
          <w:sz w:val="18"/>
        </w:rPr>
        <w:t>单位负责人：</w:t>
      </w:r>
      <w:r>
        <w:rPr>
          <w:rFonts w:ascii="宋体" w:hAnsi="宋体"/>
          <w:sz w:val="18"/>
        </w:rPr>
        <w:t xml:space="preserve">         统计负责人：        填表人：     联系电话：      </w:t>
      </w:r>
      <w:r>
        <w:rPr>
          <w:rFonts w:hint="eastAsia" w:ascii="宋体" w:hAnsi="宋体"/>
          <w:sz w:val="18"/>
          <w:szCs w:val="18"/>
        </w:rPr>
        <w:t>报出日期：</w:t>
      </w:r>
      <w:r>
        <w:rPr>
          <w:rFonts w:ascii="宋体" w:hAnsi="宋体"/>
          <w:sz w:val="18"/>
          <w:szCs w:val="18"/>
        </w:rPr>
        <w:t>202  年  月  日</w:t>
      </w:r>
    </w:p>
    <w:p>
      <w:pPr>
        <w:spacing w:line="240" w:lineRule="exact"/>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中等职业学校（包括调整后中等职业学校、中等技术学校、中等师范学校、成人中等专业学校、职业高中学校、其他中职机构）、大学、学院、独立学院、本科层次职业学校、高等职业学校、高等专科学校、成人高校（包括职工高校、农民高校、管理干部学院、教育学院、独立函授学院、广播电视大学、其他成人高教机构）、其他普通高教机构（分校或大专班）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）占地面积是指学校校园内的土地面积，不包括校园外学校拥有的农场、林场及校办工厂等土地面积。</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）绿化用地面积是指学校占地面积中用于种植花草、树木以及天然林的土地面积。包括集中绿地、水面和供教学实践的种植园及小动物饲养园。</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）运动场地面积是指学校专门用于室外体育运动并有相应设施所占用的土地面积。包括田径场地、球类场地、固定体育器械场地。</w:t>
      </w:r>
    </w:p>
    <w:p>
      <w:pPr>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校园足球场是指建在校园内，按相关建设标准建设的专门用于足球运动训练、比赛、健身等使用的室内外体育场地。场地至少包括比赛区域（划线区）和缓冲区，其中对于比赛区（划线区），</w:t>
      </w:r>
      <w:r>
        <w:rPr>
          <w:rFonts w:ascii="宋体" w:hAnsi="宋体"/>
          <w:sz w:val="18"/>
          <w:szCs w:val="18"/>
        </w:rPr>
        <w:t>11</w:t>
      </w:r>
      <w:r>
        <w:rPr>
          <w:rFonts w:hint="eastAsia" w:ascii="宋体" w:hAnsi="宋体"/>
          <w:sz w:val="18"/>
          <w:szCs w:val="18"/>
        </w:rPr>
        <w:t>人制足球场的一般不小于</w:t>
      </w:r>
      <w:r>
        <w:rPr>
          <w:rFonts w:ascii="宋体" w:hAnsi="宋体"/>
          <w:sz w:val="18"/>
          <w:szCs w:val="18"/>
        </w:rPr>
        <w:t>90*45</w:t>
      </w:r>
      <w:r>
        <w:rPr>
          <w:rFonts w:hint="eastAsia" w:ascii="宋体" w:hAnsi="宋体"/>
          <w:sz w:val="18"/>
          <w:szCs w:val="18"/>
        </w:rPr>
        <w:t>米，</w:t>
      </w:r>
      <w:r>
        <w:rPr>
          <w:rFonts w:ascii="宋体" w:hAnsi="宋体"/>
          <w:sz w:val="18"/>
          <w:szCs w:val="18"/>
        </w:rPr>
        <w:t>7</w:t>
      </w:r>
      <w:r>
        <w:rPr>
          <w:rFonts w:hint="eastAsia" w:ascii="宋体" w:hAnsi="宋体"/>
          <w:sz w:val="18"/>
          <w:szCs w:val="18"/>
        </w:rPr>
        <w:t>人制足球场一般不小于</w:t>
      </w:r>
      <w:r>
        <w:rPr>
          <w:rFonts w:ascii="宋体" w:hAnsi="宋体"/>
          <w:sz w:val="18"/>
          <w:szCs w:val="18"/>
        </w:rPr>
        <w:t>60*40</w:t>
      </w:r>
      <w:r>
        <w:rPr>
          <w:rFonts w:hint="eastAsia" w:ascii="宋体" w:hAnsi="宋体"/>
          <w:sz w:val="18"/>
          <w:szCs w:val="18"/>
        </w:rPr>
        <w:t>米，</w:t>
      </w:r>
      <w:r>
        <w:rPr>
          <w:rFonts w:ascii="宋体" w:hAnsi="宋体"/>
          <w:sz w:val="18"/>
          <w:szCs w:val="18"/>
        </w:rPr>
        <w:t>5</w:t>
      </w:r>
      <w:r>
        <w:rPr>
          <w:rFonts w:hint="eastAsia" w:ascii="宋体" w:hAnsi="宋体"/>
          <w:sz w:val="18"/>
          <w:szCs w:val="18"/>
        </w:rPr>
        <w:t>人制足球场一般不小于</w:t>
      </w:r>
      <w:r>
        <w:rPr>
          <w:rFonts w:ascii="宋体" w:hAnsi="宋体"/>
          <w:sz w:val="18"/>
          <w:szCs w:val="18"/>
        </w:rPr>
        <w:t>25*15</w:t>
      </w:r>
      <w:r>
        <w:rPr>
          <w:rFonts w:hint="eastAsia" w:ascii="宋体" w:hAnsi="宋体"/>
          <w:sz w:val="18"/>
          <w:szCs w:val="18"/>
        </w:rPr>
        <w:t>米；缓冲区为边和底线外各</w:t>
      </w:r>
      <w:r>
        <w:rPr>
          <w:rFonts w:ascii="宋体" w:hAnsi="宋体"/>
          <w:sz w:val="18"/>
          <w:szCs w:val="18"/>
        </w:rPr>
        <w:t>1</w:t>
      </w:r>
      <w:r>
        <w:rPr>
          <w:rFonts w:hint="eastAsia" w:ascii="宋体" w:hAnsi="宋体"/>
          <w:sz w:val="18"/>
          <w:szCs w:val="18"/>
        </w:rPr>
        <w:t>米。</w:t>
      </w:r>
    </w:p>
    <w:p>
      <w:pPr>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图书是指学校图书阅览室拥有的正式出版书籍。</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）图书当年新增包括购买，接受捐赠、政府划拨调配等。</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）电子图书（册）指统计纳入馆藏目录可供使用的电子图书的数量，包括与图书类似的出版物，如研究报告、会议论文集、标准等以全文电子图书数据库形式和按单种挑选订购的电子图书。电子图书</w:t>
      </w:r>
      <w:r>
        <w:rPr>
          <w:rFonts w:ascii="宋体" w:hAnsi="宋体"/>
          <w:sz w:val="18"/>
          <w:szCs w:val="18"/>
        </w:rPr>
        <w:t>1</w:t>
      </w:r>
      <w:r>
        <w:rPr>
          <w:rFonts w:hint="eastAsia" w:ascii="宋体" w:hAnsi="宋体"/>
          <w:sz w:val="18"/>
          <w:szCs w:val="18"/>
        </w:rPr>
        <w:t>种算</w:t>
      </w:r>
      <w:r>
        <w:rPr>
          <w:rFonts w:ascii="宋体" w:hAnsi="宋体"/>
          <w:sz w:val="18"/>
          <w:szCs w:val="18"/>
        </w:rPr>
        <w:t>1</w:t>
      </w:r>
      <w:r>
        <w:rPr>
          <w:rFonts w:hint="eastAsia" w:ascii="宋体" w:hAnsi="宋体"/>
          <w:sz w:val="18"/>
          <w:szCs w:val="18"/>
        </w:rPr>
        <w:t>册，不同数据库包含的同种书分别计算。试用的数字资源和免费使用的数字资源，随纸本书刊所配的光盘以及非书资料，不作为数字资源计量。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）电子期刊（册）指统计纳入馆藏目录可供使用的全文电子期刊的数量，包括与期刊类似的连续出版物等以全文电子期刊数据库形式和按单种挑选订购的全文电子期刊。中文电子期刊每种每年算</w:t>
      </w:r>
      <w:r>
        <w:rPr>
          <w:rFonts w:ascii="宋体" w:hAnsi="宋体"/>
          <w:sz w:val="18"/>
          <w:szCs w:val="18"/>
        </w:rPr>
        <w:t>1</w:t>
      </w:r>
      <w:r>
        <w:rPr>
          <w:rFonts w:hint="eastAsia" w:ascii="宋体" w:hAnsi="宋体"/>
          <w:sz w:val="18"/>
          <w:szCs w:val="18"/>
        </w:rPr>
        <w:t>册，外文电子期刊每种每年算</w:t>
      </w:r>
      <w:r>
        <w:rPr>
          <w:rFonts w:ascii="宋体" w:hAnsi="宋体"/>
          <w:sz w:val="18"/>
          <w:szCs w:val="18"/>
        </w:rPr>
        <w:t>2</w:t>
      </w:r>
      <w:r>
        <w:rPr>
          <w:rFonts w:hint="eastAsia" w:ascii="宋体" w:hAnsi="宋体"/>
          <w:sz w:val="18"/>
          <w:szCs w:val="18"/>
        </w:rPr>
        <w:t>册，不同数据库包含的同种期刊分别计算。试用的数字资源和免费使用的数字资源，随纸本书刊所配的光盘以及非书资料，不作为数字资源计量。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）学位论文（册）指统计纳入馆藏目录可供使用的电子版学位论文的数量，包括包括本校原生的和付费购买的学位论文等以全文学位论文数据库形式和按单种挑选订购全文电子版学位论文。</w:t>
      </w:r>
      <w:r>
        <w:rPr>
          <w:rFonts w:ascii="宋体" w:hAnsi="宋体"/>
          <w:sz w:val="18"/>
          <w:szCs w:val="18"/>
        </w:rPr>
        <w:t>1</w:t>
      </w:r>
      <w:r>
        <w:rPr>
          <w:rFonts w:hint="eastAsia" w:ascii="宋体" w:hAnsi="宋体"/>
          <w:sz w:val="18"/>
          <w:szCs w:val="18"/>
        </w:rPr>
        <w:t>种算</w:t>
      </w:r>
      <w:r>
        <w:rPr>
          <w:rFonts w:ascii="宋体" w:hAnsi="宋体"/>
          <w:sz w:val="18"/>
          <w:szCs w:val="18"/>
        </w:rPr>
        <w:t>1</w:t>
      </w:r>
      <w:r>
        <w:rPr>
          <w:rFonts w:hint="eastAsia" w:ascii="宋体" w:hAnsi="宋体"/>
          <w:sz w:val="18"/>
          <w:szCs w:val="18"/>
        </w:rPr>
        <w:t>册，不同数据库包含的同种学位论文分别计算。试用的数字资源和免费使用的数字资源，随纸本书刊所配的光盘以及非书资料，不作为数字资源计量。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）音视频（小时）包括自建的和付费购买的音视频资料，音视频资源按累计时长计算，时长</w:t>
      </w:r>
      <w:r>
        <w:rPr>
          <w:rFonts w:ascii="宋体" w:hAnsi="宋体"/>
          <w:sz w:val="18"/>
          <w:szCs w:val="18"/>
        </w:rPr>
        <w:t>1</w:t>
      </w:r>
      <w:r>
        <w:rPr>
          <w:rFonts w:hint="eastAsia" w:ascii="宋体" w:hAnsi="宋体"/>
          <w:sz w:val="18"/>
          <w:szCs w:val="18"/>
        </w:rPr>
        <w:t>小时参照</w:t>
      </w:r>
      <w:r>
        <w:rPr>
          <w:rFonts w:ascii="宋体" w:hAnsi="宋体"/>
          <w:sz w:val="18"/>
          <w:szCs w:val="18"/>
        </w:rPr>
        <w:t>1</w:t>
      </w:r>
      <w:r>
        <w:rPr>
          <w:rFonts w:hint="eastAsia" w:ascii="宋体" w:hAnsi="宋体"/>
          <w:sz w:val="18"/>
          <w:szCs w:val="18"/>
        </w:rPr>
        <w:t>册图书计算。试用的数字资源和免费使用的数字资源，随纸本书刊所配的光盘以及非书资料，不作为数字资源计量。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）职业教育仿真实训资源量是指根据《职业院校数字校园建设规范》，一切可用于职业教育教学实践环节的数字化资源总数，包括用于工程设计与制造的计算机辅助设计（</w:t>
      </w:r>
      <w:r>
        <w:rPr>
          <w:rFonts w:ascii="宋体" w:hAnsi="宋体"/>
          <w:sz w:val="18"/>
          <w:szCs w:val="18"/>
        </w:rPr>
        <w:t>CAD）和计算机辅助工程（CAE）软件数，用于职业训练过程的仿真实训软件数等。</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）仿真实验软件指将多媒体技术应用于实验环节中，以期达到观察现象、学会方法、自主操作的效果，其主要教学目的是验证理论、巩固知识、培养兴趣以及培养分析问题与解决问题的能力。</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）仿真实训软件指应用于职业技能训练过程的软件，以期达到熟悉操作、技能养成的目的。</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）仿真实习软件指用于生产性实习中的仿真软件，主要目的是缓解下厂实习难的问题。</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w:t>
      </w:r>
      <w:r>
        <w:rPr>
          <w:rFonts w:hint="eastAsia" w:ascii="宋体" w:hAnsi="宋体"/>
          <w:sz w:val="18"/>
          <w:szCs w:val="18"/>
        </w:rPr>
        <w:t>）数字终端数是指计入学校固定资产的、能接入有线或无线网络的各种数字计算设备数量，主要包括个人台式、笔记本电脑、平板电脑（</w:t>
      </w:r>
      <w:r>
        <w:rPr>
          <w:rFonts w:ascii="宋体" w:hAnsi="宋体"/>
          <w:sz w:val="18"/>
          <w:szCs w:val="18"/>
        </w:rPr>
        <w:t>Pad</w:t>
      </w:r>
      <w:r>
        <w:rPr>
          <w:rFonts w:hint="eastAsia" w:ascii="宋体" w:hAnsi="宋体"/>
          <w:sz w:val="18"/>
          <w:szCs w:val="18"/>
        </w:rPr>
        <w:t>）和各种新媒体技术设备的台数。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w:t>
      </w:r>
      <w:r>
        <w:rPr>
          <w:rFonts w:hint="eastAsia" w:ascii="宋体" w:hAnsi="宋体"/>
          <w:sz w:val="18"/>
          <w:szCs w:val="18"/>
        </w:rPr>
        <w:t>） 教师终端数是指为专任教师配备的教学用台式机、笔记本电脑、平板电脑台数和新媒体技术设备。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17</w:t>
      </w:r>
      <w:r>
        <w:rPr>
          <w:rFonts w:hint="eastAsia" w:ascii="宋体" w:hAnsi="宋体"/>
          <w:sz w:val="18"/>
          <w:szCs w:val="18"/>
        </w:rPr>
        <w:t>）学生终端数是指为学生配备的学习用台式机、笔记本电脑、平板电脑台数和新媒体技术设备。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w:t>
      </w:r>
      <w:r>
        <w:rPr>
          <w:rFonts w:hint="eastAsia" w:ascii="宋体" w:hAnsi="宋体"/>
          <w:sz w:val="18"/>
          <w:szCs w:val="18"/>
        </w:rPr>
        <w:t>）固定资产总值是指学校（单位）为满足自身开展业务活动或其他活动需要而控制的使用期限超过一年，单位价值在</w:t>
      </w:r>
      <w:r>
        <w:rPr>
          <w:rFonts w:ascii="宋体" w:hAnsi="宋体"/>
          <w:sz w:val="18"/>
          <w:szCs w:val="18"/>
        </w:rPr>
        <w:t>1000</w:t>
      </w:r>
      <w:r>
        <w:rPr>
          <w:rFonts w:hint="eastAsia" w:ascii="宋体" w:hAnsi="宋体"/>
          <w:sz w:val="18"/>
          <w:szCs w:val="18"/>
        </w:rPr>
        <w:t>元以上（其中：专用设备单位价值在</w:t>
      </w:r>
      <w:r>
        <w:rPr>
          <w:rFonts w:ascii="宋体" w:hAnsi="宋体"/>
          <w:sz w:val="18"/>
          <w:szCs w:val="18"/>
        </w:rPr>
        <w:t>1500</w:t>
      </w:r>
      <w:r>
        <w:rPr>
          <w:rFonts w:hint="eastAsia" w:ascii="宋体" w:hAnsi="宋体"/>
          <w:sz w:val="18"/>
          <w:szCs w:val="18"/>
        </w:rPr>
        <w:t>元以上），并在使用过程中基本保持原有物质形态的资产总值；单位价值虽未达到规定标准，但是耐用时间在一年以上的大批同类物资的总值。学校的固定资产一般分为六类：房屋及构筑物；专用设备；通用设备；文物和陈列品；图书、档案；家具、用具、装具及动植物。根据财会制度填写固定资产账面原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19</w:t>
      </w:r>
      <w:r>
        <w:rPr>
          <w:rFonts w:hint="eastAsia" w:ascii="宋体" w:hAnsi="宋体"/>
          <w:sz w:val="18"/>
          <w:szCs w:val="18"/>
        </w:rPr>
        <w:t>）教学科研实习仪器设备资产值是指学校固定资产中用于教学、实验、科研、实习等仪器设备的资产值。根据财会制度填写固定资产账面原值。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）教学科研实习仪器设备资产值当年新增是指上学年期间学校产权仪器设备值增加的数量。包括购买，接受捐赠、政府划拨调配等。</w:t>
      </w:r>
    </w:p>
    <w:p>
      <w:pPr>
        <w:tabs>
          <w:tab w:val="left" w:pos="567"/>
        </w:tabs>
        <w:spacing w:line="240" w:lineRule="exact"/>
        <w:ind w:left="1985" w:hanging="1985" w:hangingChars="1103"/>
        <w:rPr>
          <w:rFonts w:ascii="宋体" w:hAnsi="宋体"/>
          <w:sz w:val="18"/>
          <w:szCs w:val="18"/>
        </w:rPr>
      </w:pPr>
      <w:r>
        <w:rPr>
          <w:rFonts w:ascii="宋体" w:hAnsi="宋体"/>
          <w:sz w:val="18"/>
          <w:szCs w:val="18"/>
        </w:rPr>
        <w:t>3.</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2=</w:t>
      </w:r>
      <w:r>
        <w:rPr>
          <w:rFonts w:hint="eastAsia" w:ascii="宋体" w:hAnsi="宋体"/>
          <w:sz w:val="18"/>
          <w:szCs w:val="18"/>
        </w:rPr>
        <w:t>列</w:t>
      </w:r>
      <w:r>
        <w:rPr>
          <w:rFonts w:ascii="宋体" w:hAnsi="宋体"/>
          <w:sz w:val="18"/>
          <w:szCs w:val="18"/>
        </w:rPr>
        <w:t>3+列4；</w:t>
      </w:r>
    </w:p>
    <w:p>
      <w:pPr>
        <w:spacing w:line="240" w:lineRule="exact"/>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行0</w:t>
      </w:r>
      <w:r>
        <w:rPr>
          <w:rFonts w:ascii="宋体" w:hAnsi="宋体"/>
          <w:sz w:val="18"/>
          <w:szCs w:val="18"/>
        </w:rPr>
        <w:t xml:space="preserve">3； </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04=</w:t>
      </w:r>
      <w:r>
        <w:rPr>
          <w:rFonts w:hint="eastAsia" w:ascii="宋体" w:hAnsi="宋体"/>
          <w:sz w:val="18"/>
          <w:szCs w:val="18"/>
        </w:rPr>
        <w:t>行</w:t>
      </w:r>
      <w:r>
        <w:rPr>
          <w:rFonts w:ascii="宋体" w:hAnsi="宋体"/>
          <w:sz w:val="18"/>
          <w:szCs w:val="18"/>
        </w:rPr>
        <w:t>05+</w:t>
      </w:r>
      <w:r>
        <w:rPr>
          <w:rFonts w:hint="eastAsia" w:ascii="宋体" w:hAnsi="宋体"/>
          <w:sz w:val="18"/>
          <w:szCs w:val="18"/>
        </w:rPr>
        <w:t>行</w:t>
      </w:r>
      <w:r>
        <w:rPr>
          <w:rFonts w:ascii="宋体" w:hAnsi="宋体"/>
          <w:sz w:val="18"/>
          <w:szCs w:val="18"/>
        </w:rPr>
        <w:t>06+</w:t>
      </w:r>
      <w:r>
        <w:rPr>
          <w:rFonts w:hint="eastAsia" w:ascii="宋体" w:hAnsi="宋体"/>
          <w:sz w:val="18"/>
          <w:szCs w:val="18"/>
        </w:rPr>
        <w:t>行</w:t>
      </w:r>
      <w:r>
        <w:rPr>
          <w:rFonts w:ascii="宋体" w:hAnsi="宋体"/>
          <w:sz w:val="18"/>
          <w:szCs w:val="18"/>
        </w:rPr>
        <w:t>07；</w:t>
      </w:r>
    </w:p>
    <w:p>
      <w:pPr>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行</w:t>
      </w:r>
      <w:r>
        <w:rPr>
          <w:rFonts w:ascii="宋体" w:hAnsi="宋体"/>
          <w:sz w:val="18"/>
          <w:szCs w:val="18"/>
        </w:rPr>
        <w:t>08&gt;=</w:t>
      </w:r>
      <w:r>
        <w:rPr>
          <w:rFonts w:hint="eastAsia" w:ascii="宋体" w:hAnsi="宋体"/>
          <w:sz w:val="18"/>
          <w:szCs w:val="18"/>
        </w:rPr>
        <w:t>行</w:t>
      </w:r>
      <w:r>
        <w:rPr>
          <w:rFonts w:ascii="宋体" w:hAnsi="宋体"/>
          <w:sz w:val="18"/>
          <w:szCs w:val="18"/>
        </w:rPr>
        <w:t>09；</w:t>
      </w:r>
    </w:p>
    <w:p>
      <w:pPr>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行</w:t>
      </w:r>
      <w:r>
        <w:rPr>
          <w:rFonts w:ascii="宋体" w:hAnsi="宋体"/>
          <w:sz w:val="18"/>
          <w:szCs w:val="18"/>
        </w:rPr>
        <w:t>14=行15+行16+</w:t>
      </w:r>
      <w:r>
        <w:rPr>
          <w:rFonts w:hint="eastAsia" w:ascii="宋体" w:hAnsi="宋体"/>
          <w:sz w:val="18"/>
          <w:szCs w:val="18"/>
        </w:rPr>
        <w:t>行</w:t>
      </w:r>
      <w:r>
        <w:rPr>
          <w:rFonts w:ascii="宋体" w:hAnsi="宋体"/>
          <w:sz w:val="18"/>
          <w:szCs w:val="18"/>
        </w:rPr>
        <w:t>17</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（6）</w:t>
      </w:r>
      <w:r>
        <w:rPr>
          <w:rFonts w:hint="eastAsia" w:ascii="宋体" w:hAnsi="宋体"/>
          <w:sz w:val="18"/>
          <w:szCs w:val="18"/>
        </w:rPr>
        <w:t>行</w:t>
      </w:r>
      <w:r>
        <w:rPr>
          <w:rFonts w:ascii="宋体" w:hAnsi="宋体"/>
          <w:sz w:val="18"/>
          <w:szCs w:val="18"/>
        </w:rPr>
        <w:t>18&gt;=</w:t>
      </w:r>
      <w:r>
        <w:rPr>
          <w:rFonts w:hint="eastAsia" w:ascii="宋体" w:hAnsi="宋体"/>
          <w:sz w:val="18"/>
          <w:szCs w:val="18"/>
        </w:rPr>
        <w:t>行</w:t>
      </w:r>
      <w:r>
        <w:rPr>
          <w:rFonts w:ascii="宋体" w:hAnsi="宋体"/>
          <w:sz w:val="18"/>
          <w:szCs w:val="18"/>
        </w:rPr>
        <w:t>19+</w:t>
      </w:r>
      <w:r>
        <w:rPr>
          <w:rFonts w:hint="eastAsia" w:ascii="宋体" w:hAnsi="宋体"/>
          <w:sz w:val="18"/>
          <w:szCs w:val="18"/>
        </w:rPr>
        <w:t>行</w:t>
      </w:r>
      <w:r>
        <w:rPr>
          <w:rFonts w:ascii="宋体" w:hAnsi="宋体"/>
          <w:sz w:val="18"/>
          <w:szCs w:val="18"/>
        </w:rPr>
        <w:t>20</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（7）</w:t>
      </w:r>
      <w:r>
        <w:rPr>
          <w:rFonts w:hint="eastAsia" w:ascii="宋体" w:hAnsi="宋体"/>
          <w:sz w:val="18"/>
          <w:szCs w:val="18"/>
        </w:rPr>
        <w:t>行</w:t>
      </w:r>
      <w:r>
        <w:rPr>
          <w:rFonts w:ascii="宋体" w:hAnsi="宋体"/>
          <w:sz w:val="18"/>
          <w:szCs w:val="18"/>
        </w:rPr>
        <w:t>21&gt;=</w:t>
      </w:r>
      <w:r>
        <w:rPr>
          <w:rFonts w:hint="eastAsia" w:ascii="宋体" w:hAnsi="宋体"/>
          <w:sz w:val="18"/>
          <w:szCs w:val="18"/>
        </w:rPr>
        <w:t>行</w:t>
      </w:r>
      <w:r>
        <w:rPr>
          <w:rFonts w:ascii="宋体" w:hAnsi="宋体"/>
          <w:sz w:val="18"/>
          <w:szCs w:val="18"/>
        </w:rPr>
        <w:t>22</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（8）</w:t>
      </w:r>
      <w:r>
        <w:rPr>
          <w:rFonts w:hint="eastAsia" w:ascii="宋体" w:hAnsi="宋体"/>
          <w:sz w:val="18"/>
          <w:szCs w:val="18"/>
        </w:rPr>
        <w:t>行</w:t>
      </w:r>
      <w:r>
        <w:rPr>
          <w:rFonts w:ascii="宋体" w:hAnsi="宋体"/>
          <w:sz w:val="18"/>
          <w:szCs w:val="18"/>
        </w:rPr>
        <w:t>23&gt;=</w:t>
      </w:r>
      <w:r>
        <w:rPr>
          <w:rFonts w:hint="eastAsia" w:ascii="宋体" w:hAnsi="宋体"/>
          <w:sz w:val="18"/>
          <w:szCs w:val="18"/>
        </w:rPr>
        <w:t>行</w:t>
      </w:r>
      <w:r>
        <w:rPr>
          <w:rFonts w:ascii="宋体" w:hAnsi="宋体"/>
          <w:sz w:val="18"/>
          <w:szCs w:val="18"/>
        </w:rPr>
        <w:t>24</w:t>
      </w:r>
      <w:r>
        <w:rPr>
          <w:rFonts w:hint="eastAsia" w:ascii="宋体" w:hAnsi="宋体"/>
          <w:sz w:val="18"/>
          <w:szCs w:val="18"/>
        </w:rPr>
        <w:t>；</w:t>
      </w:r>
    </w:p>
    <w:p>
      <w:pPr>
        <w:ind w:firstLine="360" w:firstLineChars="200"/>
        <w:rPr>
          <w:rFonts w:ascii="宋体" w:hAnsi="宋体"/>
          <w:sz w:val="18"/>
        </w:rPr>
      </w:pPr>
      <w:r>
        <w:rPr>
          <w:rFonts w:hint="eastAsia" w:ascii="宋体" w:hAnsi="宋体"/>
          <w:sz w:val="18"/>
          <w:szCs w:val="18"/>
        </w:rPr>
        <w:t>（9）行</w:t>
      </w:r>
      <w:r>
        <w:rPr>
          <w:rFonts w:ascii="宋体" w:hAnsi="宋体"/>
          <w:sz w:val="18"/>
          <w:szCs w:val="18"/>
        </w:rPr>
        <w:t>24&gt;=</w:t>
      </w:r>
      <w:r>
        <w:rPr>
          <w:rFonts w:hint="eastAsia" w:ascii="宋体" w:hAnsi="宋体"/>
          <w:sz w:val="18"/>
          <w:szCs w:val="18"/>
        </w:rPr>
        <w:t>行</w:t>
      </w:r>
      <w:r>
        <w:rPr>
          <w:rFonts w:ascii="宋体" w:hAnsi="宋体"/>
          <w:sz w:val="18"/>
          <w:szCs w:val="18"/>
        </w:rPr>
        <w:t>25</w:t>
      </w:r>
      <w:r>
        <w:rPr>
          <w:rFonts w:hint="eastAsia" w:ascii="宋体" w:hAnsi="宋体"/>
          <w:sz w:val="18"/>
          <w:szCs w:val="18"/>
        </w:rPr>
        <w:t>。</w:t>
      </w:r>
    </w:p>
    <w:bookmarkEnd w:id="13"/>
    <w:p>
      <w:pPr>
        <w:spacing w:line="240" w:lineRule="exact"/>
        <w:ind w:firstLine="420" w:firstLineChars="200"/>
      </w:pPr>
    </w:p>
    <w:p>
      <w:pPr>
        <w:tabs>
          <w:tab w:val="right" w:pos="8144"/>
        </w:tabs>
        <w:spacing w:line="240" w:lineRule="exact"/>
        <w:ind w:firstLine="360" w:firstLineChars="200"/>
        <w:rPr>
          <w:rFonts w:hint="eastAsia" w:ascii="宋体" w:hAnsi="宋体"/>
          <w:sz w:val="18"/>
          <w:szCs w:val="18"/>
        </w:rPr>
      </w:pPr>
      <w:bookmarkStart w:id="14" w:name="_GoBack"/>
      <w:bookmarkEnd w:id="14"/>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068379FA"/>
    <w:rsid w:val="068379FA"/>
    <w:rsid w:val="0F1E2D13"/>
    <w:rsid w:val="2A6926A1"/>
    <w:rsid w:val="35D21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9164</Words>
  <Characters>9549</Characters>
  <Lines>0</Lines>
  <Paragraphs>0</Paragraphs>
  <TotalTime>0</TotalTime>
  <ScaleCrop>false</ScaleCrop>
  <LinksUpToDate>false</LinksUpToDate>
  <CharactersWithSpaces>9612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2022-09-22T08:51:00Z</dcterms:created>
  <dc:creator>Lenovo</dc:creator>
  <cp:lastModifiedBy>Lenovo</cp:lastModifiedBy>
  <dcterms:modified xsi:type="dcterms:W3CDTF">2022-09-27T02:39:02Z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9D4FBE78BBC64B9A83D86D1BB36E3C28</vt:lpwstr>
  </property>
</Properties>
</file>